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DB77" w14:textId="77777777" w:rsidR="00F23505" w:rsidRPr="007F2EC9" w:rsidRDefault="00F13BC3" w:rsidP="00B6569A">
      <w:pPr>
        <w:pStyle w:val="BodyText"/>
        <w:spacing w:before="59"/>
        <w:jc w:val="right"/>
        <w:rPr>
          <w:sz w:val="24"/>
          <w:szCs w:val="24"/>
        </w:rPr>
      </w:pPr>
      <w:r w:rsidRPr="007F2EC9">
        <w:rPr>
          <w:sz w:val="24"/>
          <w:szCs w:val="24"/>
        </w:rPr>
        <w:tab/>
      </w:r>
      <w:r w:rsidRPr="007F2EC9">
        <w:rPr>
          <w:sz w:val="24"/>
          <w:szCs w:val="24"/>
        </w:rPr>
        <w:tab/>
      </w:r>
      <w:r w:rsidRPr="007F2EC9">
        <w:rPr>
          <w:sz w:val="24"/>
          <w:szCs w:val="24"/>
        </w:rPr>
        <w:tab/>
      </w:r>
      <w:r w:rsidRPr="007F2EC9">
        <w:rPr>
          <w:sz w:val="24"/>
          <w:szCs w:val="24"/>
        </w:rPr>
        <w:tab/>
      </w:r>
      <w:r w:rsidRPr="007F2EC9">
        <w:rPr>
          <w:sz w:val="24"/>
          <w:szCs w:val="24"/>
        </w:rPr>
        <w:tab/>
      </w:r>
      <w:r w:rsidRPr="007F2EC9">
        <w:rPr>
          <w:sz w:val="24"/>
          <w:szCs w:val="24"/>
        </w:rPr>
        <w:tab/>
        <w:t xml:space="preserve">Kinnitatud </w:t>
      </w:r>
    </w:p>
    <w:p w14:paraId="04FC2525" w14:textId="77777777" w:rsidR="00F23505" w:rsidRPr="007F2EC9" w:rsidRDefault="00F23505" w:rsidP="00B6569A">
      <w:pPr>
        <w:pStyle w:val="BodyText"/>
        <w:spacing w:before="59"/>
        <w:jc w:val="right"/>
        <w:rPr>
          <w:sz w:val="24"/>
          <w:szCs w:val="24"/>
        </w:rPr>
      </w:pPr>
      <w:r w:rsidRPr="007F2EC9">
        <w:rPr>
          <w:sz w:val="24"/>
          <w:szCs w:val="24"/>
        </w:rPr>
        <w:t xml:space="preserve">MTÜ Eesti Metsasertifitseerimise Nõukogu </w:t>
      </w:r>
    </w:p>
    <w:p w14:paraId="76741A9E" w14:textId="77777777" w:rsidR="00B93C0E" w:rsidRDefault="00F13BC3" w:rsidP="00B6569A">
      <w:pPr>
        <w:pStyle w:val="BodyText"/>
        <w:spacing w:before="59"/>
        <w:jc w:val="right"/>
        <w:rPr>
          <w:sz w:val="24"/>
          <w:szCs w:val="24"/>
        </w:rPr>
      </w:pPr>
      <w:r w:rsidRPr="007F2EC9">
        <w:rPr>
          <w:sz w:val="24"/>
          <w:szCs w:val="24"/>
        </w:rPr>
        <w:t>juhatuse 28.09.2020.a. koosoleku</w:t>
      </w:r>
      <w:r w:rsidR="00F23505" w:rsidRPr="007F2EC9">
        <w:rPr>
          <w:sz w:val="24"/>
          <w:szCs w:val="24"/>
        </w:rPr>
        <w:t xml:space="preserve"> </w:t>
      </w:r>
      <w:r w:rsidR="00EF64BF" w:rsidRPr="007F2EC9">
        <w:rPr>
          <w:sz w:val="24"/>
          <w:szCs w:val="24"/>
        </w:rPr>
        <w:t>otsusega</w:t>
      </w:r>
      <w:r w:rsidR="00F23505" w:rsidRPr="007F2EC9">
        <w:rPr>
          <w:sz w:val="24"/>
          <w:szCs w:val="24"/>
        </w:rPr>
        <w:t xml:space="preserve"> nr</w:t>
      </w:r>
      <w:r w:rsidR="00F23505" w:rsidRPr="007F2EC9">
        <w:rPr>
          <w:b/>
          <w:bCs/>
          <w:sz w:val="24"/>
          <w:szCs w:val="24"/>
        </w:rPr>
        <w:t xml:space="preserve"> </w:t>
      </w:r>
      <w:r w:rsidR="00EF64BF" w:rsidRPr="007F2EC9">
        <w:rPr>
          <w:sz w:val="24"/>
          <w:szCs w:val="24"/>
        </w:rPr>
        <w:t>1.1.</w:t>
      </w:r>
      <w:r w:rsidR="00B93C0E">
        <w:rPr>
          <w:sz w:val="24"/>
          <w:szCs w:val="24"/>
        </w:rPr>
        <w:t xml:space="preserve"> </w:t>
      </w:r>
    </w:p>
    <w:p w14:paraId="30D96416" w14:textId="68DCB762" w:rsidR="00F13BC3" w:rsidRPr="00273A93" w:rsidRDefault="00B93C0E" w:rsidP="00B6569A">
      <w:pPr>
        <w:pStyle w:val="BodyText"/>
        <w:spacing w:before="59"/>
        <w:jc w:val="right"/>
        <w:rPr>
          <w:sz w:val="24"/>
          <w:szCs w:val="24"/>
        </w:rPr>
      </w:pPr>
      <w:r w:rsidRPr="00273A93">
        <w:rPr>
          <w:sz w:val="24"/>
          <w:szCs w:val="24"/>
        </w:rPr>
        <w:t>ning kehtivad alates 01.01.2021.</w:t>
      </w:r>
    </w:p>
    <w:p w14:paraId="64D78FF0" w14:textId="64E58595" w:rsidR="00F50DEA" w:rsidRPr="00273A93" w:rsidRDefault="00DA70CD" w:rsidP="00273A93">
      <w:pPr>
        <w:pStyle w:val="BodyText"/>
        <w:spacing w:before="59"/>
        <w:jc w:val="right"/>
        <w:rPr>
          <w:sz w:val="24"/>
          <w:szCs w:val="24"/>
        </w:rPr>
      </w:pPr>
      <w:r w:rsidRPr="00273A93">
        <w:rPr>
          <w:sz w:val="24"/>
          <w:szCs w:val="24"/>
        </w:rPr>
        <w:t xml:space="preserve">Muudetud </w:t>
      </w:r>
      <w:r w:rsidR="00E01A53">
        <w:rPr>
          <w:sz w:val="24"/>
          <w:szCs w:val="24"/>
        </w:rPr>
        <w:t>20.10.2023.a</w:t>
      </w:r>
      <w:r w:rsidRPr="00273A93">
        <w:rPr>
          <w:sz w:val="24"/>
          <w:szCs w:val="24"/>
        </w:rPr>
        <w:t xml:space="preserve"> koosoleku otsusega nr </w:t>
      </w:r>
      <w:r w:rsidR="00E01A53">
        <w:rPr>
          <w:sz w:val="24"/>
          <w:szCs w:val="24"/>
        </w:rPr>
        <w:t>5.1.</w:t>
      </w:r>
    </w:p>
    <w:p w14:paraId="62D7D037" w14:textId="0533FFD4" w:rsidR="00FD1A32" w:rsidRDefault="00F90D48" w:rsidP="00F90D48">
      <w:pPr>
        <w:pStyle w:val="BodyText"/>
        <w:spacing w:before="59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>ning kehtivad alates 01.01.2024.</w:t>
      </w:r>
    </w:p>
    <w:p w14:paraId="58901BD3" w14:textId="4842A461" w:rsidR="004037E4" w:rsidRDefault="004037E4" w:rsidP="004037E4">
      <w:pPr>
        <w:pStyle w:val="BodyText"/>
        <w:spacing w:before="5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Muudetud 10.12.2024.a koosoleku otsusega nr </w:t>
      </w:r>
      <w:r w:rsidR="006F097D">
        <w:rPr>
          <w:sz w:val="24"/>
          <w:szCs w:val="24"/>
        </w:rPr>
        <w:t>3.1.</w:t>
      </w:r>
    </w:p>
    <w:p w14:paraId="2B884C83" w14:textId="77777777" w:rsidR="004037E4" w:rsidRDefault="004037E4" w:rsidP="004037E4">
      <w:pPr>
        <w:pStyle w:val="BodyText"/>
        <w:spacing w:before="59"/>
        <w:jc w:val="right"/>
        <w:rPr>
          <w:sz w:val="24"/>
          <w:szCs w:val="24"/>
        </w:rPr>
      </w:pPr>
      <w:r>
        <w:rPr>
          <w:sz w:val="24"/>
          <w:szCs w:val="24"/>
        </w:rPr>
        <w:t>ning kehtivad alates 01.01.2025</w:t>
      </w:r>
    </w:p>
    <w:p w14:paraId="26AE0622" w14:textId="1F3FDC27" w:rsidR="007B5A14" w:rsidRDefault="007B5A14" w:rsidP="007B5A14">
      <w:pPr>
        <w:pStyle w:val="BodyText"/>
        <w:spacing w:before="5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Muudetud </w:t>
      </w:r>
      <w:r w:rsidR="00EC283B">
        <w:rPr>
          <w:sz w:val="24"/>
          <w:szCs w:val="24"/>
        </w:rPr>
        <w:t>13.</w:t>
      </w:r>
      <w:r>
        <w:rPr>
          <w:sz w:val="24"/>
          <w:szCs w:val="24"/>
        </w:rPr>
        <w:t>03.2025.a koosoleku otsus</w:t>
      </w:r>
      <w:r w:rsidR="00EC283B">
        <w:rPr>
          <w:sz w:val="24"/>
          <w:szCs w:val="24"/>
        </w:rPr>
        <w:t>t</w:t>
      </w:r>
      <w:r>
        <w:rPr>
          <w:sz w:val="24"/>
          <w:szCs w:val="24"/>
        </w:rPr>
        <w:t xml:space="preserve">ega nr </w:t>
      </w:r>
      <w:r w:rsidR="00EC283B">
        <w:rPr>
          <w:sz w:val="24"/>
          <w:szCs w:val="24"/>
        </w:rPr>
        <w:t>3 ja 4</w:t>
      </w:r>
    </w:p>
    <w:p w14:paraId="7D2E1A7E" w14:textId="6FED940A" w:rsidR="007B5A14" w:rsidRDefault="007B5A14" w:rsidP="007B5A14">
      <w:pPr>
        <w:pStyle w:val="BodyText"/>
        <w:spacing w:before="5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ning kehtivad alates </w:t>
      </w:r>
      <w:r w:rsidR="00EC283B">
        <w:rPr>
          <w:sz w:val="24"/>
          <w:szCs w:val="24"/>
        </w:rPr>
        <w:t>13.</w:t>
      </w:r>
      <w:r>
        <w:rPr>
          <w:sz w:val="24"/>
          <w:szCs w:val="24"/>
        </w:rPr>
        <w:t>03.2025</w:t>
      </w:r>
    </w:p>
    <w:p w14:paraId="22B92AA5" w14:textId="23596EDB" w:rsidR="007B5A14" w:rsidRDefault="007B5A14" w:rsidP="004037E4">
      <w:pPr>
        <w:pStyle w:val="BodyText"/>
        <w:spacing w:before="59"/>
        <w:jc w:val="right"/>
        <w:rPr>
          <w:b/>
          <w:bCs/>
          <w:sz w:val="24"/>
          <w:szCs w:val="24"/>
        </w:rPr>
      </w:pPr>
    </w:p>
    <w:p w14:paraId="751317B5" w14:textId="77777777" w:rsidR="00456FE4" w:rsidRPr="00273A93" w:rsidRDefault="00456FE4" w:rsidP="00B6569A">
      <w:pPr>
        <w:pStyle w:val="BodyText"/>
        <w:spacing w:before="59"/>
        <w:jc w:val="both"/>
        <w:rPr>
          <w:b/>
          <w:bCs/>
          <w:sz w:val="24"/>
          <w:szCs w:val="24"/>
        </w:rPr>
      </w:pPr>
    </w:p>
    <w:p w14:paraId="3587C933" w14:textId="06455ACC" w:rsidR="00ED3EBA" w:rsidRDefault="00E121C1" w:rsidP="00B6569A">
      <w:pPr>
        <w:pStyle w:val="BodyText"/>
        <w:spacing w:before="59"/>
        <w:jc w:val="center"/>
        <w:rPr>
          <w:b/>
          <w:bCs/>
          <w:sz w:val="28"/>
          <w:szCs w:val="28"/>
        </w:rPr>
      </w:pPr>
      <w:r w:rsidRPr="00273A93">
        <w:rPr>
          <w:b/>
          <w:bCs/>
          <w:sz w:val="28"/>
          <w:szCs w:val="28"/>
        </w:rPr>
        <w:t xml:space="preserve">Eesti Metsasertifitseerimise Nõukogu </w:t>
      </w:r>
      <w:r w:rsidR="004D299C">
        <w:rPr>
          <w:b/>
          <w:bCs/>
          <w:sz w:val="28"/>
          <w:szCs w:val="28"/>
        </w:rPr>
        <w:t xml:space="preserve">PEFC </w:t>
      </w:r>
      <w:r w:rsidRPr="00273A93">
        <w:rPr>
          <w:b/>
          <w:bCs/>
          <w:sz w:val="28"/>
          <w:szCs w:val="28"/>
        </w:rPr>
        <w:t>teavitustasu</w:t>
      </w:r>
      <w:r w:rsidR="004D299C">
        <w:rPr>
          <w:b/>
          <w:bCs/>
          <w:sz w:val="28"/>
          <w:szCs w:val="28"/>
        </w:rPr>
        <w:t>de</w:t>
      </w:r>
      <w:r w:rsidR="00781976" w:rsidRPr="00273A93">
        <w:rPr>
          <w:b/>
          <w:bCs/>
          <w:sz w:val="28"/>
          <w:szCs w:val="28"/>
        </w:rPr>
        <w:t xml:space="preserve"> tariifid</w:t>
      </w:r>
    </w:p>
    <w:p w14:paraId="7364ECD1" w14:textId="77777777" w:rsidR="00CB1F0A" w:rsidRPr="00273A93" w:rsidRDefault="00CB1F0A" w:rsidP="00B6569A">
      <w:pPr>
        <w:pStyle w:val="BodyText"/>
        <w:spacing w:before="59"/>
        <w:jc w:val="center"/>
        <w:rPr>
          <w:b/>
          <w:bCs/>
          <w:sz w:val="28"/>
          <w:szCs w:val="28"/>
        </w:rPr>
      </w:pPr>
    </w:p>
    <w:p w14:paraId="1CF083DE" w14:textId="77777777" w:rsidR="009F5781" w:rsidRDefault="009F5781" w:rsidP="00B6569A">
      <w:pPr>
        <w:pStyle w:val="BodyText"/>
        <w:spacing w:before="59"/>
        <w:jc w:val="both"/>
        <w:rPr>
          <w:b/>
          <w:bCs/>
          <w:sz w:val="24"/>
          <w:szCs w:val="24"/>
        </w:rPr>
      </w:pPr>
    </w:p>
    <w:p w14:paraId="5F97CC22" w14:textId="2E662B7D" w:rsidR="00A13189" w:rsidRPr="00205CAC" w:rsidRDefault="009F5781" w:rsidP="00B6569A">
      <w:pPr>
        <w:pStyle w:val="BodyText"/>
        <w:jc w:val="both"/>
        <w:rPr>
          <w:color w:val="000000" w:themeColor="text1"/>
          <w:sz w:val="24"/>
          <w:szCs w:val="24"/>
        </w:rPr>
      </w:pPr>
      <w:r w:rsidRPr="009F5781">
        <w:rPr>
          <w:sz w:val="24"/>
          <w:szCs w:val="24"/>
        </w:rPr>
        <w:t xml:space="preserve">Dokumendiga kehtestatakse iga-aastased </w:t>
      </w:r>
      <w:r w:rsidR="00E01A53">
        <w:rPr>
          <w:sz w:val="24"/>
          <w:szCs w:val="24"/>
        </w:rPr>
        <w:t xml:space="preserve">PEFC </w:t>
      </w:r>
      <w:r w:rsidRPr="009F5781">
        <w:rPr>
          <w:sz w:val="24"/>
          <w:szCs w:val="24"/>
        </w:rPr>
        <w:t>teavitustasu</w:t>
      </w:r>
      <w:r w:rsidR="004D299C">
        <w:rPr>
          <w:sz w:val="24"/>
          <w:szCs w:val="24"/>
        </w:rPr>
        <w:t>de</w:t>
      </w:r>
      <w:r w:rsidRPr="009F5781">
        <w:rPr>
          <w:sz w:val="24"/>
          <w:szCs w:val="24"/>
        </w:rPr>
        <w:t xml:space="preserve"> arvutamise ja </w:t>
      </w:r>
      <w:r w:rsidRPr="003B7DCC">
        <w:rPr>
          <w:color w:val="000000" w:themeColor="text1"/>
          <w:sz w:val="24"/>
          <w:szCs w:val="24"/>
        </w:rPr>
        <w:t>haldamise</w:t>
      </w:r>
      <w:r w:rsidRPr="009F5781">
        <w:rPr>
          <w:sz w:val="24"/>
          <w:szCs w:val="24"/>
        </w:rPr>
        <w:t xml:space="preserve"> põhimõtteid. Teavitustasude eesmärk on tagada PEFC </w:t>
      </w:r>
      <w:r w:rsidR="00CF330E">
        <w:rPr>
          <w:sz w:val="24"/>
          <w:szCs w:val="24"/>
        </w:rPr>
        <w:t xml:space="preserve">Nõukogu </w:t>
      </w:r>
      <w:r w:rsidRPr="009F5781">
        <w:rPr>
          <w:sz w:val="24"/>
          <w:szCs w:val="24"/>
        </w:rPr>
        <w:t xml:space="preserve">ja </w:t>
      </w:r>
      <w:r w:rsidR="00E01A53">
        <w:rPr>
          <w:sz w:val="24"/>
          <w:szCs w:val="24"/>
        </w:rPr>
        <w:t>Eesti Metsasertifitseerimise Nõukogu (EMSN</w:t>
      </w:r>
      <w:r w:rsidRPr="009F578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tegevus ja </w:t>
      </w:r>
      <w:r w:rsidR="003B7DCC" w:rsidRPr="009F5781">
        <w:rPr>
          <w:sz w:val="24"/>
          <w:szCs w:val="24"/>
        </w:rPr>
        <w:t xml:space="preserve">teenused </w:t>
      </w:r>
      <w:r w:rsidR="003B7DCC">
        <w:rPr>
          <w:sz w:val="24"/>
          <w:szCs w:val="24"/>
        </w:rPr>
        <w:t xml:space="preserve">vastavalt organisatsioonide strateegiatele </w:t>
      </w:r>
      <w:r>
        <w:rPr>
          <w:sz w:val="24"/>
          <w:szCs w:val="24"/>
        </w:rPr>
        <w:t xml:space="preserve">ning </w:t>
      </w:r>
      <w:r w:rsidR="00FD1A32">
        <w:rPr>
          <w:sz w:val="24"/>
          <w:szCs w:val="24"/>
        </w:rPr>
        <w:t>PEFC-</w:t>
      </w:r>
      <w:r w:rsidR="00FD1A32" w:rsidRPr="00205CAC">
        <w:rPr>
          <w:color w:val="000000" w:themeColor="text1"/>
          <w:sz w:val="24"/>
          <w:szCs w:val="24"/>
        </w:rPr>
        <w:t>sertimise teenuse tagamiseks Eestis</w:t>
      </w:r>
      <w:r w:rsidRPr="00205CAC">
        <w:rPr>
          <w:color w:val="000000" w:themeColor="text1"/>
          <w:sz w:val="24"/>
          <w:szCs w:val="24"/>
        </w:rPr>
        <w:t>.</w:t>
      </w:r>
    </w:p>
    <w:p w14:paraId="6510BA32" w14:textId="0ED651B5" w:rsidR="00A13189" w:rsidRPr="00205CAC" w:rsidRDefault="00A13189" w:rsidP="00B6569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5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Teavitustasu tariifid </w:t>
      </w:r>
      <w:r w:rsidR="00CF33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võidakse</w:t>
      </w:r>
      <w:r w:rsidRPr="00205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igal kalendriaastal </w:t>
      </w:r>
      <w:r w:rsidR="00CF33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üle vaadata </w:t>
      </w:r>
      <w:r w:rsidR="009F5781" w:rsidRPr="00205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ning</w:t>
      </w:r>
      <w:r w:rsidRPr="00205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3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neid vajadusel muuta</w:t>
      </w:r>
      <w:r w:rsidR="00BB4283" w:rsidRPr="00205C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195D4C2" w14:textId="77777777" w:rsidR="00A13189" w:rsidRPr="00715607" w:rsidRDefault="00A13189" w:rsidP="00B6569A">
      <w:pPr>
        <w:pStyle w:val="BodyText"/>
        <w:spacing w:before="59"/>
        <w:jc w:val="both"/>
        <w:rPr>
          <w:sz w:val="24"/>
          <w:szCs w:val="24"/>
        </w:rPr>
      </w:pPr>
    </w:p>
    <w:p w14:paraId="63D471E1" w14:textId="77777777" w:rsidR="00A63313" w:rsidRDefault="00A63313" w:rsidP="00B6569A">
      <w:pPr>
        <w:pStyle w:val="BodyText"/>
        <w:numPr>
          <w:ilvl w:val="0"/>
          <w:numId w:val="7"/>
        </w:numPr>
        <w:spacing w:before="59"/>
        <w:ind w:left="554"/>
        <w:jc w:val="both"/>
        <w:rPr>
          <w:b/>
          <w:bCs/>
          <w:sz w:val="24"/>
          <w:szCs w:val="24"/>
        </w:rPr>
      </w:pPr>
      <w:r w:rsidRPr="00715607">
        <w:rPr>
          <w:b/>
          <w:bCs/>
          <w:sz w:val="24"/>
          <w:szCs w:val="24"/>
        </w:rPr>
        <w:t>Üldpõhimõtted</w:t>
      </w:r>
    </w:p>
    <w:p w14:paraId="4A973506" w14:textId="77777777" w:rsidR="00CF330E" w:rsidRPr="00715607" w:rsidRDefault="00CF330E" w:rsidP="00CF330E">
      <w:pPr>
        <w:pStyle w:val="BodyText"/>
        <w:spacing w:before="59"/>
        <w:ind w:left="554"/>
        <w:jc w:val="both"/>
        <w:rPr>
          <w:b/>
          <w:bCs/>
          <w:sz w:val="24"/>
          <w:szCs w:val="24"/>
        </w:rPr>
      </w:pPr>
    </w:p>
    <w:p w14:paraId="70D55702" w14:textId="480F0281" w:rsidR="00A63313" w:rsidRPr="00715607" w:rsidRDefault="00A63313" w:rsidP="00B6569A">
      <w:pPr>
        <w:pStyle w:val="ListParagraph"/>
        <w:numPr>
          <w:ilvl w:val="0"/>
          <w:numId w:val="8"/>
        </w:numPr>
        <w:ind w:left="554"/>
        <w:jc w:val="both"/>
        <w:rPr>
          <w:rFonts w:ascii="Times New Roman" w:hAnsi="Times New Roman" w:cs="Times New Roman"/>
          <w:sz w:val="24"/>
          <w:szCs w:val="24"/>
        </w:rPr>
      </w:pPr>
      <w:r w:rsidRPr="00715607">
        <w:rPr>
          <w:rFonts w:ascii="Times New Roman" w:hAnsi="Times New Roman" w:cs="Times New Roman"/>
          <w:sz w:val="24"/>
          <w:szCs w:val="24"/>
        </w:rPr>
        <w:t xml:space="preserve">Sertifitseerimisasutused esitavad </w:t>
      </w:r>
      <w:r w:rsidR="0081218C" w:rsidRPr="00715607">
        <w:rPr>
          <w:rFonts w:ascii="Times New Roman" w:hAnsi="Times New Roman" w:cs="Times New Roman"/>
          <w:sz w:val="24"/>
          <w:szCs w:val="24"/>
        </w:rPr>
        <w:t xml:space="preserve">arved </w:t>
      </w:r>
      <w:r w:rsidRPr="00715607">
        <w:rPr>
          <w:rFonts w:ascii="Times New Roman" w:hAnsi="Times New Roman" w:cs="Times New Roman"/>
          <w:sz w:val="24"/>
          <w:szCs w:val="24"/>
        </w:rPr>
        <w:t xml:space="preserve">sertifitseeritud </w:t>
      </w:r>
      <w:r w:rsidR="00C7790E">
        <w:rPr>
          <w:rFonts w:ascii="Times New Roman" w:hAnsi="Times New Roman" w:cs="Times New Roman"/>
          <w:sz w:val="24"/>
          <w:szCs w:val="24"/>
        </w:rPr>
        <w:t>organisatsioonidele</w:t>
      </w:r>
      <w:r w:rsidRPr="00715607">
        <w:rPr>
          <w:rFonts w:ascii="Times New Roman" w:hAnsi="Times New Roman" w:cs="Times New Roman"/>
          <w:sz w:val="24"/>
          <w:szCs w:val="24"/>
        </w:rPr>
        <w:t xml:space="preserve"> </w:t>
      </w:r>
      <w:r w:rsidR="002524C5" w:rsidRPr="00715607">
        <w:rPr>
          <w:rFonts w:ascii="Times New Roman" w:hAnsi="Times New Roman" w:cs="Times New Roman"/>
          <w:sz w:val="24"/>
          <w:szCs w:val="24"/>
        </w:rPr>
        <w:t xml:space="preserve">metsamajandamise ja/või tarneahela </w:t>
      </w:r>
      <w:r w:rsidRPr="00715607">
        <w:rPr>
          <w:rFonts w:ascii="Times New Roman" w:hAnsi="Times New Roman" w:cs="Times New Roman"/>
          <w:sz w:val="24"/>
          <w:szCs w:val="24"/>
        </w:rPr>
        <w:t>teavitamistasud</w:t>
      </w:r>
      <w:r w:rsidR="0081218C" w:rsidRPr="00715607">
        <w:rPr>
          <w:rFonts w:ascii="Times New Roman" w:hAnsi="Times New Roman" w:cs="Times New Roman"/>
          <w:sz w:val="24"/>
          <w:szCs w:val="24"/>
        </w:rPr>
        <w:t>e kohta</w:t>
      </w:r>
      <w:r w:rsidRPr="00715607">
        <w:rPr>
          <w:rFonts w:ascii="Times New Roman" w:hAnsi="Times New Roman" w:cs="Times New Roman"/>
          <w:sz w:val="24"/>
          <w:szCs w:val="24"/>
        </w:rPr>
        <w:t xml:space="preserve"> iga-aastaste auditite käigus. </w:t>
      </w:r>
      <w:r w:rsidR="00F1671B" w:rsidRPr="00715607">
        <w:rPr>
          <w:rFonts w:ascii="Times New Roman" w:hAnsi="Times New Roman" w:cs="Times New Roman"/>
          <w:sz w:val="24"/>
          <w:szCs w:val="24"/>
        </w:rPr>
        <w:t>Sertifitseerimisasutused tasuvad t</w:t>
      </w:r>
      <w:r w:rsidRPr="00715607">
        <w:rPr>
          <w:rFonts w:ascii="Times New Roman" w:hAnsi="Times New Roman" w:cs="Times New Roman"/>
          <w:sz w:val="24"/>
          <w:szCs w:val="24"/>
        </w:rPr>
        <w:t xml:space="preserve">eavitustasud </w:t>
      </w:r>
      <w:proofErr w:type="spellStart"/>
      <w:r w:rsidRPr="00715607">
        <w:rPr>
          <w:rFonts w:ascii="Times New Roman" w:hAnsi="Times New Roman" w:cs="Times New Roman"/>
          <w:sz w:val="24"/>
          <w:szCs w:val="24"/>
        </w:rPr>
        <w:t>EMSNile</w:t>
      </w:r>
      <w:proofErr w:type="spellEnd"/>
      <w:r w:rsidRPr="00715607">
        <w:rPr>
          <w:rFonts w:ascii="Times New Roman" w:hAnsi="Times New Roman" w:cs="Times New Roman"/>
          <w:sz w:val="24"/>
          <w:szCs w:val="24"/>
        </w:rPr>
        <w:t xml:space="preserve"> vastavalt EMSNi ja sert-asutuse vahelisele teavituslepingule (sertifikaadiomanikule esitab teavitustasu arve </w:t>
      </w:r>
      <w:proofErr w:type="spellStart"/>
      <w:r w:rsidRPr="00715607">
        <w:rPr>
          <w:rFonts w:ascii="Times New Roman" w:hAnsi="Times New Roman" w:cs="Times New Roman"/>
          <w:sz w:val="24"/>
          <w:szCs w:val="24"/>
        </w:rPr>
        <w:t>sert.asutus</w:t>
      </w:r>
      <w:proofErr w:type="spellEnd"/>
      <w:r w:rsidRPr="00715607">
        <w:rPr>
          <w:rFonts w:ascii="Times New Roman" w:hAnsi="Times New Roman" w:cs="Times New Roman"/>
          <w:sz w:val="24"/>
          <w:szCs w:val="24"/>
        </w:rPr>
        <w:t xml:space="preserve">, kes tasub teavitustasu täies mahus </w:t>
      </w:r>
      <w:proofErr w:type="spellStart"/>
      <w:r w:rsidRPr="00715607">
        <w:rPr>
          <w:rFonts w:ascii="Times New Roman" w:hAnsi="Times New Roman" w:cs="Times New Roman"/>
          <w:sz w:val="24"/>
          <w:szCs w:val="24"/>
        </w:rPr>
        <w:t>EMSNile</w:t>
      </w:r>
      <w:proofErr w:type="spellEnd"/>
      <w:r w:rsidRPr="00715607">
        <w:rPr>
          <w:rFonts w:ascii="Times New Roman" w:hAnsi="Times New Roman" w:cs="Times New Roman"/>
          <w:sz w:val="24"/>
          <w:szCs w:val="24"/>
        </w:rPr>
        <w:t>).</w:t>
      </w:r>
    </w:p>
    <w:p w14:paraId="0D4C8493" w14:textId="77777777" w:rsidR="00FD1A32" w:rsidRPr="00715607" w:rsidRDefault="00FD1A32" w:rsidP="00FD1A32">
      <w:pPr>
        <w:pStyle w:val="ListParagraph"/>
        <w:numPr>
          <w:ilvl w:val="0"/>
          <w:numId w:val="8"/>
        </w:numPr>
        <w:ind w:left="554"/>
        <w:jc w:val="both"/>
        <w:rPr>
          <w:rFonts w:ascii="Times New Roman" w:hAnsi="Times New Roman" w:cs="Times New Roman"/>
          <w:sz w:val="24"/>
          <w:szCs w:val="24"/>
        </w:rPr>
      </w:pPr>
      <w:r w:rsidRPr="00715607">
        <w:rPr>
          <w:rFonts w:ascii="Times New Roman" w:hAnsi="Times New Roman" w:cs="Times New Roman"/>
          <w:sz w:val="24"/>
          <w:szCs w:val="24"/>
        </w:rPr>
        <w:t xml:space="preserve">Teavitustasu arvestusse ei arvestata sertifitseerimisasutuse sertifitseerimis- ja/või auditeerimiskulusid. </w:t>
      </w:r>
    </w:p>
    <w:p w14:paraId="090245F7" w14:textId="02DFE449" w:rsidR="00A63313" w:rsidRPr="00715607" w:rsidRDefault="00A63313" w:rsidP="00FD1A32">
      <w:pPr>
        <w:pStyle w:val="ListParagraph"/>
        <w:numPr>
          <w:ilvl w:val="0"/>
          <w:numId w:val="8"/>
        </w:numPr>
        <w:ind w:left="554"/>
        <w:jc w:val="both"/>
        <w:rPr>
          <w:rFonts w:ascii="Times New Roman" w:hAnsi="Times New Roman" w:cs="Times New Roman"/>
          <w:sz w:val="24"/>
          <w:szCs w:val="24"/>
        </w:rPr>
      </w:pPr>
      <w:r w:rsidRPr="00715607">
        <w:rPr>
          <w:rFonts w:ascii="Times New Roman" w:hAnsi="Times New Roman" w:cs="Times New Roman"/>
          <w:sz w:val="24"/>
          <w:szCs w:val="24"/>
        </w:rPr>
        <w:t>EMSN</w:t>
      </w:r>
      <w:r w:rsidR="00CF330E">
        <w:rPr>
          <w:rFonts w:ascii="Times New Roman" w:hAnsi="Times New Roman" w:cs="Times New Roman"/>
          <w:sz w:val="24"/>
          <w:szCs w:val="24"/>
        </w:rPr>
        <w:t xml:space="preserve"> </w:t>
      </w:r>
      <w:r w:rsidRPr="00715607">
        <w:rPr>
          <w:rFonts w:ascii="Times New Roman" w:hAnsi="Times New Roman" w:cs="Times New Roman"/>
          <w:sz w:val="24"/>
          <w:szCs w:val="24"/>
        </w:rPr>
        <w:t xml:space="preserve">võib 1 kord </w:t>
      </w:r>
      <w:r w:rsidR="00CF330E">
        <w:rPr>
          <w:rFonts w:ascii="Times New Roman" w:hAnsi="Times New Roman" w:cs="Times New Roman"/>
          <w:sz w:val="24"/>
          <w:szCs w:val="24"/>
        </w:rPr>
        <w:t>kalendri</w:t>
      </w:r>
      <w:r w:rsidRPr="00715607">
        <w:rPr>
          <w:rFonts w:ascii="Times New Roman" w:hAnsi="Times New Roman" w:cs="Times New Roman"/>
          <w:sz w:val="24"/>
          <w:szCs w:val="24"/>
        </w:rPr>
        <w:t xml:space="preserve">aastas </w:t>
      </w:r>
      <w:r w:rsidR="00B93C0E" w:rsidRPr="00715607">
        <w:rPr>
          <w:rFonts w:ascii="Times New Roman" w:hAnsi="Times New Roman" w:cs="Times New Roman"/>
          <w:sz w:val="24"/>
          <w:szCs w:val="24"/>
        </w:rPr>
        <w:t>üle</w:t>
      </w:r>
      <w:r w:rsidRPr="00715607">
        <w:rPr>
          <w:rFonts w:ascii="Times New Roman" w:hAnsi="Times New Roman" w:cs="Times New Roman"/>
          <w:sz w:val="24"/>
          <w:szCs w:val="24"/>
        </w:rPr>
        <w:t xml:space="preserve"> vaadata teavitustasude suuruse</w:t>
      </w:r>
      <w:r w:rsidR="00CF330E">
        <w:rPr>
          <w:rFonts w:ascii="Times New Roman" w:hAnsi="Times New Roman" w:cs="Times New Roman"/>
          <w:sz w:val="24"/>
          <w:szCs w:val="24"/>
        </w:rPr>
        <w:t xml:space="preserve">. </w:t>
      </w:r>
      <w:r w:rsidRPr="00715607">
        <w:rPr>
          <w:rFonts w:ascii="Times New Roman" w:hAnsi="Times New Roman" w:cs="Times New Roman"/>
          <w:sz w:val="24"/>
          <w:szCs w:val="24"/>
        </w:rPr>
        <w:t xml:space="preserve">Uued teavitustasud </w:t>
      </w:r>
      <w:r w:rsidR="00D10C95" w:rsidRPr="00715607">
        <w:rPr>
          <w:rFonts w:ascii="Times New Roman" w:hAnsi="Times New Roman" w:cs="Times New Roman"/>
          <w:sz w:val="24"/>
          <w:szCs w:val="24"/>
        </w:rPr>
        <w:t xml:space="preserve">hakkavad kehtima </w:t>
      </w:r>
      <w:r w:rsidR="005D4CC7" w:rsidRPr="00715607">
        <w:rPr>
          <w:rFonts w:ascii="Times New Roman" w:hAnsi="Times New Roman" w:cs="Times New Roman"/>
          <w:sz w:val="24"/>
          <w:szCs w:val="24"/>
        </w:rPr>
        <w:t>kehtestamisele järgneva</w:t>
      </w:r>
      <w:r w:rsidR="00D10C95" w:rsidRPr="00715607">
        <w:rPr>
          <w:rFonts w:ascii="Times New Roman" w:hAnsi="Times New Roman" w:cs="Times New Roman"/>
          <w:sz w:val="24"/>
          <w:szCs w:val="24"/>
        </w:rPr>
        <w:t xml:space="preserve"> kalendriaasta algusest</w:t>
      </w:r>
      <w:r w:rsidR="00B93C0E" w:rsidRPr="00715607">
        <w:rPr>
          <w:rFonts w:ascii="Times New Roman" w:hAnsi="Times New Roman" w:cs="Times New Roman"/>
          <w:sz w:val="24"/>
          <w:szCs w:val="24"/>
        </w:rPr>
        <w:t>.</w:t>
      </w:r>
    </w:p>
    <w:p w14:paraId="1CBB9875" w14:textId="655EFE5E" w:rsidR="00A63313" w:rsidRPr="00715607" w:rsidRDefault="00B93C0E" w:rsidP="00FD1A3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6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0F36BE6" w14:textId="77777777" w:rsidR="00A4402A" w:rsidRPr="00715607" w:rsidRDefault="00A4402A" w:rsidP="00B6569A">
      <w:pPr>
        <w:pStyle w:val="BodyText"/>
        <w:spacing w:before="59"/>
        <w:jc w:val="both"/>
        <w:rPr>
          <w:sz w:val="24"/>
          <w:szCs w:val="24"/>
        </w:rPr>
      </w:pPr>
    </w:p>
    <w:p w14:paraId="4939CE73" w14:textId="4354496F" w:rsidR="004714AB" w:rsidRPr="00B6569A" w:rsidRDefault="00BB4283" w:rsidP="00B6569A">
      <w:pPr>
        <w:pStyle w:val="BodyText"/>
        <w:numPr>
          <w:ilvl w:val="0"/>
          <w:numId w:val="7"/>
        </w:numPr>
        <w:ind w:left="554"/>
        <w:jc w:val="both"/>
        <w:rPr>
          <w:b/>
          <w:bCs/>
          <w:color w:val="000000" w:themeColor="text1"/>
          <w:sz w:val="24"/>
          <w:szCs w:val="24"/>
        </w:rPr>
      </w:pPr>
      <w:r w:rsidRPr="00B6569A">
        <w:rPr>
          <w:b/>
          <w:bCs/>
          <w:color w:val="000000" w:themeColor="text1"/>
          <w:sz w:val="24"/>
          <w:szCs w:val="24"/>
        </w:rPr>
        <w:t>Teavitustasude tariifid</w:t>
      </w:r>
    </w:p>
    <w:p w14:paraId="0B494F70" w14:textId="77777777" w:rsidR="00BB4283" w:rsidRPr="007F2EC9" w:rsidRDefault="00BB4283" w:rsidP="00B6569A">
      <w:pPr>
        <w:pStyle w:val="BodyText"/>
        <w:jc w:val="both"/>
        <w:rPr>
          <w:sz w:val="24"/>
          <w:szCs w:val="24"/>
        </w:rPr>
      </w:pPr>
    </w:p>
    <w:p w14:paraId="192B611D" w14:textId="5C4118BA" w:rsidR="007F2EC9" w:rsidRPr="007F2EC9" w:rsidRDefault="007F2EC9" w:rsidP="00B6569A">
      <w:pPr>
        <w:pStyle w:val="ListParagraph"/>
        <w:numPr>
          <w:ilvl w:val="0"/>
          <w:numId w:val="1"/>
        </w:numPr>
        <w:ind w:left="194"/>
        <w:jc w:val="both"/>
        <w:rPr>
          <w:rFonts w:ascii="Times New Roman" w:hAnsi="Times New Roman" w:cs="Times New Roman"/>
          <w:sz w:val="24"/>
          <w:szCs w:val="24"/>
        </w:rPr>
      </w:pPr>
      <w:r w:rsidRPr="007F2EC9">
        <w:rPr>
          <w:rFonts w:ascii="Times New Roman" w:eastAsia="Times New Roman" w:hAnsi="Times New Roman" w:cs="Times New Roman"/>
          <w:bCs/>
          <w:sz w:val="24"/>
          <w:szCs w:val="24"/>
        </w:rPr>
        <w:t>Metsamaa sertifitseerimise teavitustasu tariifid</w:t>
      </w:r>
      <w:r w:rsidRPr="007F2EC9">
        <w:rPr>
          <w:rFonts w:ascii="Times New Roman" w:hAnsi="Times New Roman" w:cs="Times New Roman"/>
          <w:sz w:val="24"/>
          <w:szCs w:val="24"/>
        </w:rPr>
        <w:t xml:space="preserve"> alates 01.01.</w:t>
      </w:r>
      <w:r w:rsidR="003D73A0" w:rsidRPr="007F2EC9">
        <w:rPr>
          <w:rFonts w:ascii="Times New Roman" w:hAnsi="Times New Roman" w:cs="Times New Roman"/>
          <w:sz w:val="24"/>
          <w:szCs w:val="24"/>
        </w:rPr>
        <w:t>202</w:t>
      </w:r>
      <w:r w:rsidR="003D73A0">
        <w:rPr>
          <w:rFonts w:ascii="Times New Roman" w:hAnsi="Times New Roman" w:cs="Times New Roman"/>
          <w:sz w:val="24"/>
          <w:szCs w:val="24"/>
        </w:rPr>
        <w:t>5</w:t>
      </w:r>
      <w:r w:rsidRPr="007F2EC9">
        <w:rPr>
          <w:rFonts w:ascii="Times New Roman" w:hAnsi="Times New Roman" w:cs="Times New Roman"/>
          <w:sz w:val="24"/>
          <w:szCs w:val="24"/>
        </w:rPr>
        <w:t>.a.</w:t>
      </w:r>
      <w:r w:rsidRPr="007F2EC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0394EB5" w14:textId="77777777" w:rsidR="007F2EC9" w:rsidRPr="007F2EC9" w:rsidRDefault="007F2EC9" w:rsidP="00B6569A">
      <w:pPr>
        <w:pStyle w:val="ListParagraph"/>
        <w:ind w:left="127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8D3FEF" w14:textId="3387C465" w:rsidR="007F2EC9" w:rsidRPr="007F2EC9" w:rsidRDefault="007F2EC9" w:rsidP="00B6569A">
      <w:pPr>
        <w:pStyle w:val="ListParagraph"/>
        <w:widowControl/>
        <w:numPr>
          <w:ilvl w:val="0"/>
          <w:numId w:val="5"/>
        </w:numPr>
        <w:autoSpaceDE/>
        <w:autoSpaceDN/>
        <w:ind w:left="127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EC9">
        <w:rPr>
          <w:rFonts w:ascii="Times New Roman" w:hAnsi="Times New Roman" w:cs="Times New Roman"/>
          <w:sz w:val="24"/>
          <w:szCs w:val="24"/>
        </w:rPr>
        <w:t xml:space="preserve">Metsamaa teavitustasu tariif pindalaga kuni 100 ha </w:t>
      </w:r>
      <w:r w:rsidRPr="007F2EC9">
        <w:rPr>
          <w:rFonts w:ascii="Times New Roman" w:eastAsia="Times New Roman" w:hAnsi="Times New Roman" w:cs="Times New Roman"/>
          <w:bCs/>
          <w:sz w:val="24"/>
          <w:szCs w:val="24"/>
        </w:rPr>
        <w:t>on 2</w:t>
      </w:r>
      <w:r w:rsidR="00EC5218">
        <w:rPr>
          <w:rFonts w:ascii="Times New Roman" w:eastAsia="Times New Roman" w:hAnsi="Times New Roman" w:cs="Times New Roman"/>
          <w:bCs/>
          <w:sz w:val="24"/>
          <w:szCs w:val="24"/>
        </w:rPr>
        <w:t>6,2</w:t>
      </w:r>
      <w:r w:rsidRPr="007F2EC9">
        <w:rPr>
          <w:rFonts w:ascii="Times New Roman" w:eastAsia="Times New Roman" w:hAnsi="Times New Roman" w:cs="Times New Roman"/>
          <w:bCs/>
          <w:sz w:val="24"/>
          <w:szCs w:val="24"/>
        </w:rPr>
        <w:t xml:space="preserve">5 eurot. Ühikuhind arvutatakse valemiga: </w:t>
      </w:r>
    </w:p>
    <w:p w14:paraId="42DA86EB" w14:textId="77777777" w:rsidR="007F2EC9" w:rsidRPr="007F2EC9" w:rsidRDefault="007F2EC9" w:rsidP="00B6569A">
      <w:pPr>
        <w:pStyle w:val="ListParagraph"/>
        <w:ind w:left="127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76D011" w14:textId="45FCA384" w:rsidR="007F2EC9" w:rsidRPr="007F2EC9" w:rsidRDefault="007F2EC9" w:rsidP="00B6569A">
      <w:pPr>
        <w:pStyle w:val="ListParagraph"/>
        <w:ind w:left="127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C9">
        <w:rPr>
          <w:rFonts w:ascii="Times New Roman" w:eastAsia="Times New Roman" w:hAnsi="Times New Roman" w:cs="Times New Roman"/>
          <w:bCs/>
          <w:sz w:val="24"/>
          <w:szCs w:val="24"/>
        </w:rPr>
        <w:t>=2</w:t>
      </w:r>
      <w:r w:rsidR="00EC5218">
        <w:rPr>
          <w:rFonts w:ascii="Times New Roman" w:eastAsia="Times New Roman" w:hAnsi="Times New Roman" w:cs="Times New Roman"/>
          <w:bCs/>
          <w:sz w:val="24"/>
          <w:szCs w:val="24"/>
        </w:rPr>
        <w:t>6,2</w:t>
      </w:r>
      <w:r w:rsidRPr="007F2EC9">
        <w:rPr>
          <w:rFonts w:ascii="Times New Roman" w:eastAsia="Times New Roman" w:hAnsi="Times New Roman" w:cs="Times New Roman"/>
          <w:bCs/>
          <w:sz w:val="24"/>
          <w:szCs w:val="24"/>
        </w:rPr>
        <w:t xml:space="preserve">5/S, kus </w:t>
      </w:r>
      <w:r w:rsidRPr="007F2EC9">
        <w:rPr>
          <w:rFonts w:ascii="Times New Roman" w:hAnsi="Times New Roman" w:cs="Times New Roman"/>
          <w:sz w:val="24"/>
          <w:szCs w:val="24"/>
        </w:rPr>
        <w:t xml:space="preserve">S = </w:t>
      </w:r>
      <w:proofErr w:type="spellStart"/>
      <w:r w:rsidR="00ED1DE1">
        <w:rPr>
          <w:rFonts w:ascii="Times New Roman" w:hAnsi="Times New Roman" w:cs="Times New Roman"/>
          <w:sz w:val="24"/>
          <w:szCs w:val="24"/>
        </w:rPr>
        <w:t>metsamaa</w:t>
      </w:r>
      <w:proofErr w:type="spellEnd"/>
      <w:r w:rsidRPr="007F2EC9">
        <w:rPr>
          <w:rFonts w:ascii="Times New Roman" w:hAnsi="Times New Roman" w:cs="Times New Roman"/>
          <w:sz w:val="24"/>
          <w:szCs w:val="24"/>
        </w:rPr>
        <w:t xml:space="preserve"> pindala, ha</w:t>
      </w:r>
      <w:r w:rsidRPr="007F2EC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6D190F30" w14:textId="77777777" w:rsidR="007F2EC9" w:rsidRPr="007F2EC9" w:rsidRDefault="007F2EC9" w:rsidP="00B6569A">
      <w:pPr>
        <w:pStyle w:val="ListParagraph"/>
        <w:ind w:left="1274"/>
        <w:jc w:val="both"/>
        <w:rPr>
          <w:rFonts w:ascii="Times New Roman" w:hAnsi="Times New Roman" w:cs="Times New Roman"/>
          <w:sz w:val="24"/>
          <w:szCs w:val="24"/>
        </w:rPr>
      </w:pPr>
    </w:p>
    <w:p w14:paraId="75689DAB" w14:textId="5FF63F0A" w:rsidR="007F2EC9" w:rsidRPr="000D7FD4" w:rsidRDefault="007F2EC9" w:rsidP="00B6569A">
      <w:pPr>
        <w:pStyle w:val="ListParagraph"/>
        <w:numPr>
          <w:ilvl w:val="0"/>
          <w:numId w:val="5"/>
        </w:numPr>
        <w:ind w:left="1274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218">
        <w:rPr>
          <w:rFonts w:ascii="Times New Roman" w:hAnsi="Times New Roman" w:cs="Times New Roman"/>
          <w:sz w:val="24"/>
          <w:szCs w:val="24"/>
        </w:rPr>
        <w:t>Alates 10</w:t>
      </w:r>
      <w:r w:rsidR="00B71383" w:rsidRPr="00EC5218">
        <w:rPr>
          <w:rFonts w:ascii="Times New Roman" w:hAnsi="Times New Roman" w:cs="Times New Roman"/>
          <w:sz w:val="24"/>
          <w:szCs w:val="24"/>
        </w:rPr>
        <w:t>0</w:t>
      </w:r>
      <w:r w:rsidRPr="00EC5218">
        <w:rPr>
          <w:rFonts w:ascii="Times New Roman" w:hAnsi="Times New Roman" w:cs="Times New Roman"/>
          <w:sz w:val="24"/>
          <w:szCs w:val="24"/>
        </w:rPr>
        <w:t xml:space="preserve"> hektarist arvutatakse teavitustariif</w:t>
      </w:r>
      <w:r w:rsidR="00BE4717">
        <w:rPr>
          <w:rFonts w:ascii="Times New Roman" w:hAnsi="Times New Roman" w:cs="Times New Roman"/>
          <w:sz w:val="24"/>
          <w:szCs w:val="24"/>
        </w:rPr>
        <w:t>i ühikuhind</w:t>
      </w:r>
      <w:r w:rsidRPr="00EC5218">
        <w:rPr>
          <w:rFonts w:ascii="Times New Roman" w:hAnsi="Times New Roman" w:cs="Times New Roman"/>
          <w:sz w:val="24"/>
          <w:szCs w:val="24"/>
        </w:rPr>
        <w:t xml:space="preserve"> järgmise valemi alusel*:</w:t>
      </w:r>
      <w:r w:rsidRPr="000D7F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975A56D" w14:textId="77777777" w:rsidR="007F2EC9" w:rsidRPr="007F2EC9" w:rsidRDefault="007F2EC9" w:rsidP="00B6569A">
      <w:pPr>
        <w:ind w:left="91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1582DA0" w14:textId="053B48C0" w:rsidR="007F2EC9" w:rsidRPr="007F2EC9" w:rsidRDefault="007F2EC9" w:rsidP="00B6569A">
      <w:pPr>
        <w:ind w:left="1274"/>
        <w:jc w:val="both"/>
        <w:rPr>
          <w:rFonts w:ascii="Times New Roman" w:hAnsi="Times New Roman" w:cs="Times New Roman"/>
          <w:sz w:val="24"/>
          <w:szCs w:val="24"/>
        </w:rPr>
      </w:pPr>
      <w:r w:rsidRPr="007F2EC9">
        <w:rPr>
          <w:rFonts w:ascii="Times New Roman" w:hAnsi="Times New Roman" w:cs="Times New Roman"/>
          <w:sz w:val="24"/>
          <w:szCs w:val="24"/>
        </w:rPr>
        <w:t>=</w:t>
      </w:r>
      <w:r w:rsidR="00EC5218">
        <w:rPr>
          <w:rFonts w:ascii="Times New Roman" w:hAnsi="Times New Roman" w:cs="Times New Roman"/>
          <w:sz w:val="24"/>
          <w:szCs w:val="24"/>
        </w:rPr>
        <w:t>1,05*</w:t>
      </w:r>
      <w:r w:rsidRPr="007F2EC9">
        <w:rPr>
          <w:rFonts w:ascii="Times New Roman" w:hAnsi="Times New Roman" w:cs="Times New Roman"/>
          <w:sz w:val="24"/>
          <w:szCs w:val="24"/>
        </w:rPr>
        <w:t>IF(S&lt;=8000;-0,00251228894*LN(S)^3+0,04856289694*LN(S)^2-</w:t>
      </w:r>
      <w:r w:rsidRPr="007F2EC9">
        <w:rPr>
          <w:rFonts w:ascii="Times New Roman" w:hAnsi="Times New Roman" w:cs="Times New Roman"/>
          <w:sz w:val="24"/>
          <w:szCs w:val="24"/>
        </w:rPr>
        <w:lastRenderedPageBreak/>
        <w:t xml:space="preserve">0,33642352729*LN(S)+1,01474709642;-0,00016285965*LN(S)^5 + 0,00994447958*LN(S)^4 - 0,24115638155*LN(S)^3 + 2,902546643*LN(S)^2 - 17,34854529978*LN(S) + 41,293977)), kus </w:t>
      </w:r>
    </w:p>
    <w:p w14:paraId="6EDB2398" w14:textId="77777777" w:rsidR="007F2EC9" w:rsidRPr="007F2EC9" w:rsidRDefault="007F2EC9" w:rsidP="00B65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18191" w14:textId="52250586" w:rsidR="007F2EC9" w:rsidRDefault="007F2EC9" w:rsidP="00B6569A">
      <w:pPr>
        <w:ind w:left="55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2EC9">
        <w:rPr>
          <w:rFonts w:ascii="Times New Roman" w:hAnsi="Times New Roman" w:cs="Times New Roman"/>
          <w:sz w:val="24"/>
          <w:szCs w:val="24"/>
        </w:rPr>
        <w:t xml:space="preserve">S = </w:t>
      </w:r>
      <w:proofErr w:type="spellStart"/>
      <w:r w:rsidR="00ED1DE1">
        <w:rPr>
          <w:rFonts w:ascii="Times New Roman" w:hAnsi="Times New Roman" w:cs="Times New Roman"/>
          <w:sz w:val="24"/>
          <w:szCs w:val="24"/>
        </w:rPr>
        <w:t>metsamaa</w:t>
      </w:r>
      <w:proofErr w:type="spellEnd"/>
      <w:r w:rsidRPr="007F2EC9">
        <w:rPr>
          <w:rFonts w:ascii="Times New Roman" w:hAnsi="Times New Roman" w:cs="Times New Roman"/>
          <w:sz w:val="24"/>
          <w:szCs w:val="24"/>
        </w:rPr>
        <w:t xml:space="preserve"> pindala, ha.</w:t>
      </w:r>
    </w:p>
    <w:p w14:paraId="38486E46" w14:textId="77777777" w:rsidR="007F2EC9" w:rsidRPr="007F2EC9" w:rsidRDefault="007F2EC9" w:rsidP="00B6569A">
      <w:pPr>
        <w:ind w:left="55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EACAF3" w14:textId="0DE1E5AE" w:rsidR="007F2EC9" w:rsidRPr="00A6327F" w:rsidRDefault="007F2EC9" w:rsidP="00B6569A">
      <w:pPr>
        <w:ind w:left="12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327F">
        <w:rPr>
          <w:rFonts w:ascii="Times New Roman" w:hAnsi="Times New Roman" w:cs="Times New Roman"/>
          <w:i/>
          <w:iCs/>
          <w:sz w:val="24"/>
          <w:szCs w:val="24"/>
        </w:rPr>
        <w:t>*Valem on koostatud Excelis kasutatavate funktsioonide ja valemite kasutamise reeglite kohaselt.</w:t>
      </w:r>
    </w:p>
    <w:p w14:paraId="2E34EA93" w14:textId="77777777" w:rsidR="007B1F7E" w:rsidRDefault="007B1F7E" w:rsidP="00B6569A">
      <w:pPr>
        <w:ind w:left="1274"/>
        <w:jc w:val="both"/>
        <w:rPr>
          <w:rFonts w:ascii="Times New Roman" w:hAnsi="Times New Roman" w:cs="Times New Roman"/>
          <w:sz w:val="24"/>
          <w:szCs w:val="24"/>
        </w:rPr>
      </w:pPr>
    </w:p>
    <w:p w14:paraId="5DDDB929" w14:textId="4A2F5878" w:rsidR="006F097D" w:rsidRPr="000D7FD4" w:rsidRDefault="00C41F1C" w:rsidP="000D7FD4">
      <w:pPr>
        <w:pStyle w:val="ListParagraph"/>
        <w:numPr>
          <w:ilvl w:val="1"/>
          <w:numId w:val="1"/>
        </w:numPr>
        <w:ind w:left="626"/>
        <w:jc w:val="both"/>
      </w:pPr>
      <w:r w:rsidRPr="00A6331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50DEA" w:rsidRPr="00A63313">
        <w:rPr>
          <w:rFonts w:ascii="Times New Roman" w:hAnsi="Times New Roman" w:cs="Times New Roman"/>
          <w:color w:val="000000" w:themeColor="text1"/>
          <w:sz w:val="24"/>
          <w:szCs w:val="24"/>
        </w:rPr>
        <w:t>eavitust</w:t>
      </w:r>
      <w:r w:rsidRPr="00A63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asu </w:t>
      </w:r>
      <w:r w:rsidR="00CF3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suurus </w:t>
      </w:r>
      <w:r w:rsidRPr="00A63313">
        <w:rPr>
          <w:rFonts w:ascii="Times New Roman" w:hAnsi="Times New Roman" w:cs="Times New Roman"/>
          <w:color w:val="000000" w:themeColor="text1"/>
          <w:sz w:val="24"/>
          <w:szCs w:val="24"/>
        </w:rPr>
        <w:t>arvesta</w:t>
      </w:r>
      <w:r w:rsidR="00A63313">
        <w:rPr>
          <w:rFonts w:ascii="Times New Roman" w:hAnsi="Times New Roman" w:cs="Times New Roman"/>
          <w:color w:val="000000" w:themeColor="text1"/>
          <w:sz w:val="24"/>
          <w:szCs w:val="24"/>
        </w:rPr>
        <w:t>takse</w:t>
      </w:r>
      <w:r w:rsidRPr="00A63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3313" w:rsidRPr="00A633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teavitusraportis toodud pindala </w:t>
      </w:r>
      <w:r w:rsidRPr="00A63313">
        <w:rPr>
          <w:rFonts w:ascii="Times New Roman" w:hAnsi="Times New Roman" w:cs="Times New Roman"/>
          <w:color w:val="000000" w:themeColor="text1"/>
          <w:sz w:val="24"/>
          <w:szCs w:val="24"/>
        </w:rPr>
        <w:t>põhjal</w:t>
      </w:r>
      <w:r w:rsidR="004963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B3D878" w14:textId="77777777" w:rsidR="00C41F1C" w:rsidRDefault="00C41F1C" w:rsidP="00B6569A">
      <w:pPr>
        <w:pStyle w:val="ListParagraph"/>
        <w:ind w:left="914"/>
        <w:jc w:val="both"/>
        <w:rPr>
          <w:rFonts w:ascii="Times New Roman" w:hAnsi="Times New Roman" w:cs="Times New Roman"/>
          <w:sz w:val="24"/>
          <w:szCs w:val="24"/>
        </w:rPr>
      </w:pPr>
    </w:p>
    <w:p w14:paraId="49C16380" w14:textId="77777777" w:rsidR="003B7DCC" w:rsidRPr="00C41F1C" w:rsidRDefault="003B7DCC" w:rsidP="00B6569A">
      <w:pPr>
        <w:pStyle w:val="ListParagraph"/>
        <w:ind w:left="914"/>
        <w:jc w:val="both"/>
        <w:rPr>
          <w:rFonts w:ascii="Times New Roman" w:hAnsi="Times New Roman" w:cs="Times New Roman"/>
          <w:sz w:val="24"/>
          <w:szCs w:val="24"/>
        </w:rPr>
      </w:pPr>
    </w:p>
    <w:p w14:paraId="2A52D2B2" w14:textId="448B3358" w:rsidR="007B1F7E" w:rsidRPr="007F2EC9" w:rsidRDefault="007B1F7E" w:rsidP="00B6569A">
      <w:pPr>
        <w:pStyle w:val="ListParagraph"/>
        <w:numPr>
          <w:ilvl w:val="0"/>
          <w:numId w:val="1"/>
        </w:numPr>
        <w:ind w:left="194"/>
        <w:jc w:val="both"/>
        <w:rPr>
          <w:rFonts w:ascii="Times New Roman" w:hAnsi="Times New Roman" w:cs="Times New Roman"/>
          <w:sz w:val="24"/>
          <w:szCs w:val="24"/>
        </w:rPr>
      </w:pPr>
      <w:r w:rsidRPr="007F2EC9">
        <w:rPr>
          <w:rFonts w:ascii="Times New Roman" w:hAnsi="Times New Roman" w:cs="Times New Roman"/>
          <w:sz w:val="24"/>
          <w:szCs w:val="24"/>
        </w:rPr>
        <w:t>Tarneahela teavitustasu tariifid:</w:t>
      </w:r>
    </w:p>
    <w:p w14:paraId="4669AF89" w14:textId="77777777" w:rsidR="007B1F7E" w:rsidRPr="007F2EC9" w:rsidRDefault="007B1F7E" w:rsidP="00B6569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33" w:type="dxa"/>
        <w:tblInd w:w="898" w:type="dxa"/>
        <w:tblLayout w:type="fixed"/>
        <w:tblLook w:val="04A0" w:firstRow="1" w:lastRow="0" w:firstColumn="1" w:lastColumn="0" w:noHBand="0" w:noVBand="1"/>
      </w:tblPr>
      <w:tblGrid>
        <w:gridCol w:w="2329"/>
        <w:gridCol w:w="2410"/>
        <w:gridCol w:w="2126"/>
        <w:gridCol w:w="2268"/>
      </w:tblGrid>
      <w:tr w:rsidR="006F097D" w:rsidRPr="007F2EC9" w14:paraId="33C944A8" w14:textId="47F240DD" w:rsidTr="006F097D">
        <w:tc>
          <w:tcPr>
            <w:tcW w:w="2329" w:type="dxa"/>
          </w:tcPr>
          <w:p w14:paraId="5F7FEF70" w14:textId="77777777" w:rsidR="006F097D" w:rsidRPr="007F2EC9" w:rsidRDefault="006F097D" w:rsidP="00CB1F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Teavitustasu grupp</w:t>
            </w:r>
          </w:p>
        </w:tc>
        <w:tc>
          <w:tcPr>
            <w:tcW w:w="2410" w:type="dxa"/>
          </w:tcPr>
          <w:p w14:paraId="4A117F44" w14:textId="7F90F6E3" w:rsidR="006F097D" w:rsidRPr="007F2EC9" w:rsidRDefault="006F097D" w:rsidP="00CB1F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Ettevõtte käive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F2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(milj EUR)</w:t>
            </w:r>
          </w:p>
        </w:tc>
        <w:tc>
          <w:tcPr>
            <w:tcW w:w="2126" w:type="dxa"/>
          </w:tcPr>
          <w:p w14:paraId="1C4C3CE8" w14:textId="3FEFDC23" w:rsidR="006F097D" w:rsidRPr="007F2EC9" w:rsidRDefault="006F097D" w:rsidP="00CB1F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Teavitustasu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kuni 31.12.2024 </w:t>
            </w:r>
            <w:r w:rsidRPr="007F2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2268" w:type="dxa"/>
          </w:tcPr>
          <w:p w14:paraId="33AF477C" w14:textId="507D0398" w:rsidR="006F097D" w:rsidRPr="007F2EC9" w:rsidRDefault="006F097D" w:rsidP="00CB1F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Teavitustasu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alates 01.01.2025 </w:t>
            </w:r>
            <w:r w:rsidRPr="007F2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</w:tr>
      <w:tr w:rsidR="006F097D" w:rsidRPr="007F2EC9" w14:paraId="3AB1C682" w14:textId="66563AC8" w:rsidTr="00CB1F0A">
        <w:tc>
          <w:tcPr>
            <w:tcW w:w="2329" w:type="dxa"/>
          </w:tcPr>
          <w:p w14:paraId="4B5BB999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I grupp</w:t>
            </w:r>
          </w:p>
        </w:tc>
        <w:tc>
          <w:tcPr>
            <w:tcW w:w="2410" w:type="dxa"/>
          </w:tcPr>
          <w:p w14:paraId="18EBF0E3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Kuni 0,99 milj </w:t>
            </w:r>
            <w:proofErr w:type="spellStart"/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14:paraId="2E84E0D3" w14:textId="6EB97EAD" w:rsidR="006F097D" w:rsidRPr="004037E4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200</w:t>
            </w:r>
          </w:p>
        </w:tc>
        <w:tc>
          <w:tcPr>
            <w:tcW w:w="2268" w:type="dxa"/>
            <w:vAlign w:val="center"/>
          </w:tcPr>
          <w:p w14:paraId="151A0996" w14:textId="3F8766CE" w:rsidR="006F097D" w:rsidRPr="006F097D" w:rsidRDefault="006F097D" w:rsidP="006F09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6F097D" w:rsidRPr="007F2EC9" w14:paraId="0196D703" w14:textId="22EE8DCB" w:rsidTr="00CB1F0A">
        <w:tc>
          <w:tcPr>
            <w:tcW w:w="2329" w:type="dxa"/>
          </w:tcPr>
          <w:p w14:paraId="51194A7C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II grupp</w:t>
            </w:r>
          </w:p>
        </w:tc>
        <w:tc>
          <w:tcPr>
            <w:tcW w:w="2410" w:type="dxa"/>
          </w:tcPr>
          <w:p w14:paraId="524B480B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1 – 4,99 milj </w:t>
            </w:r>
            <w:proofErr w:type="spellStart"/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14:paraId="2D17B566" w14:textId="0691C62F" w:rsidR="006F097D" w:rsidRPr="004037E4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400</w:t>
            </w:r>
          </w:p>
        </w:tc>
        <w:tc>
          <w:tcPr>
            <w:tcW w:w="2268" w:type="dxa"/>
          </w:tcPr>
          <w:p w14:paraId="34C27778" w14:textId="487FC09B" w:rsidR="006F097D" w:rsidRPr="006F097D" w:rsidRDefault="006F097D" w:rsidP="006F09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</w:tr>
      <w:tr w:rsidR="006F097D" w:rsidRPr="007F2EC9" w14:paraId="16FE084D" w14:textId="236DFE74" w:rsidTr="00CB1F0A">
        <w:tc>
          <w:tcPr>
            <w:tcW w:w="2329" w:type="dxa"/>
          </w:tcPr>
          <w:p w14:paraId="12C3301C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III grupp</w:t>
            </w:r>
          </w:p>
        </w:tc>
        <w:tc>
          <w:tcPr>
            <w:tcW w:w="2410" w:type="dxa"/>
          </w:tcPr>
          <w:p w14:paraId="6519677B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5 – 9,99 milj </w:t>
            </w:r>
            <w:proofErr w:type="spellStart"/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14:paraId="1AA3BFB3" w14:textId="34D6D01B" w:rsidR="006F097D" w:rsidRPr="004037E4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68" w:type="dxa"/>
          </w:tcPr>
          <w:p w14:paraId="4DC76309" w14:textId="680CD6FE" w:rsidR="006F097D" w:rsidRPr="006F097D" w:rsidRDefault="006F097D" w:rsidP="006F09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</w:tr>
      <w:tr w:rsidR="006F097D" w:rsidRPr="007F2EC9" w14:paraId="3B6C9CAC" w14:textId="752F2144" w:rsidTr="00CB1F0A">
        <w:tc>
          <w:tcPr>
            <w:tcW w:w="2329" w:type="dxa"/>
          </w:tcPr>
          <w:p w14:paraId="2A913662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IV grupp</w:t>
            </w:r>
          </w:p>
        </w:tc>
        <w:tc>
          <w:tcPr>
            <w:tcW w:w="2410" w:type="dxa"/>
          </w:tcPr>
          <w:p w14:paraId="1FE02139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10 – 14,99 milj </w:t>
            </w:r>
            <w:proofErr w:type="spellStart"/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14:paraId="74675674" w14:textId="28D33D81" w:rsidR="006F097D" w:rsidRPr="004037E4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E4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268" w:type="dxa"/>
          </w:tcPr>
          <w:p w14:paraId="2C1C151B" w14:textId="4FA0C290" w:rsidR="006F097D" w:rsidRPr="006F097D" w:rsidRDefault="006F097D" w:rsidP="006F09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</w:tr>
      <w:tr w:rsidR="006F097D" w:rsidRPr="007F2EC9" w14:paraId="115605F2" w14:textId="4C6279C2" w:rsidTr="00CB1F0A">
        <w:tc>
          <w:tcPr>
            <w:tcW w:w="2329" w:type="dxa"/>
          </w:tcPr>
          <w:p w14:paraId="50C34820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V grupp</w:t>
            </w:r>
          </w:p>
        </w:tc>
        <w:tc>
          <w:tcPr>
            <w:tcW w:w="2410" w:type="dxa"/>
          </w:tcPr>
          <w:p w14:paraId="6EB2E510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15 – 29,99 milj </w:t>
            </w:r>
            <w:proofErr w:type="spellStart"/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14:paraId="600A972A" w14:textId="7B1069ED" w:rsidR="006F097D" w:rsidRPr="004037E4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E4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2268" w:type="dxa"/>
          </w:tcPr>
          <w:p w14:paraId="78E5F638" w14:textId="6554E48E" w:rsidR="006F097D" w:rsidRPr="006F097D" w:rsidRDefault="006F097D" w:rsidP="006F09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</w:t>
            </w:r>
          </w:p>
        </w:tc>
      </w:tr>
      <w:tr w:rsidR="006F097D" w:rsidRPr="007F2EC9" w14:paraId="4E3610E4" w14:textId="2923AE04" w:rsidTr="00CB1F0A">
        <w:tc>
          <w:tcPr>
            <w:tcW w:w="2329" w:type="dxa"/>
          </w:tcPr>
          <w:p w14:paraId="2C2EC6AB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VI grupp</w:t>
            </w:r>
          </w:p>
        </w:tc>
        <w:tc>
          <w:tcPr>
            <w:tcW w:w="2410" w:type="dxa"/>
          </w:tcPr>
          <w:p w14:paraId="198858FA" w14:textId="2239A3B3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30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49,99</w:t>
            </w: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 milj </w:t>
            </w:r>
            <w:proofErr w:type="spellStart"/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14:paraId="1ECA33E8" w14:textId="38CF7D8C" w:rsidR="006F097D" w:rsidRPr="004037E4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E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268" w:type="dxa"/>
          </w:tcPr>
          <w:p w14:paraId="58D7AA0A" w14:textId="04D0F80D" w:rsidR="006F097D" w:rsidRPr="006F097D" w:rsidRDefault="006F097D" w:rsidP="006F09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</w:tr>
      <w:tr w:rsidR="006F097D" w:rsidRPr="007F2EC9" w14:paraId="6134F060" w14:textId="64A3329F" w:rsidTr="00CB1F0A">
        <w:tc>
          <w:tcPr>
            <w:tcW w:w="2329" w:type="dxa"/>
          </w:tcPr>
          <w:p w14:paraId="0B32CADB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VII grupp</w:t>
            </w:r>
          </w:p>
        </w:tc>
        <w:tc>
          <w:tcPr>
            <w:tcW w:w="2410" w:type="dxa"/>
          </w:tcPr>
          <w:p w14:paraId="369CE6BC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50 – 99,99 milj </w:t>
            </w:r>
            <w:proofErr w:type="spellStart"/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14:paraId="3C4C9676" w14:textId="3BDBA5A5" w:rsidR="006F097D" w:rsidRPr="004037E4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E4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2268" w:type="dxa"/>
          </w:tcPr>
          <w:p w14:paraId="63D9FAAA" w14:textId="5FC8C3BE" w:rsidR="006F097D" w:rsidRPr="006F097D" w:rsidRDefault="006F097D" w:rsidP="006F09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2875</w:t>
            </w:r>
          </w:p>
        </w:tc>
      </w:tr>
      <w:tr w:rsidR="006F097D" w:rsidRPr="007F2EC9" w14:paraId="4436E7A8" w14:textId="3C724418" w:rsidTr="00CB1F0A">
        <w:tc>
          <w:tcPr>
            <w:tcW w:w="2329" w:type="dxa"/>
          </w:tcPr>
          <w:p w14:paraId="46F685F7" w14:textId="1477171B" w:rsidR="006F097D" w:rsidRPr="007F2EC9" w:rsidRDefault="006F097D" w:rsidP="006F09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I</w:t>
            </w: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 grupp</w:t>
            </w:r>
          </w:p>
        </w:tc>
        <w:tc>
          <w:tcPr>
            <w:tcW w:w="2410" w:type="dxa"/>
          </w:tcPr>
          <w:p w14:paraId="7A7E2E91" w14:textId="77777777" w:rsidR="006F097D" w:rsidRPr="007F2EC9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100+ milj </w:t>
            </w:r>
            <w:proofErr w:type="spellStart"/>
            <w:r w:rsidRPr="007F2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14:paraId="55CD68B6" w14:textId="1A499757" w:rsidR="006F097D" w:rsidRPr="004037E4" w:rsidRDefault="006F097D" w:rsidP="006F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E4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2268" w:type="dxa"/>
          </w:tcPr>
          <w:p w14:paraId="06AB1B9F" w14:textId="340A32A1" w:rsidR="006F097D" w:rsidRPr="006F097D" w:rsidRDefault="006F097D" w:rsidP="006F09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3450</w:t>
            </w:r>
          </w:p>
        </w:tc>
      </w:tr>
    </w:tbl>
    <w:p w14:paraId="65E2F5EE" w14:textId="77777777" w:rsidR="007B1F7E" w:rsidRDefault="007B1F7E" w:rsidP="00B6569A">
      <w:pPr>
        <w:pStyle w:val="ListParagraph"/>
        <w:ind w:left="554"/>
        <w:jc w:val="both"/>
        <w:rPr>
          <w:rFonts w:ascii="Times New Roman" w:hAnsi="Times New Roman" w:cs="Times New Roman"/>
          <w:sz w:val="24"/>
          <w:szCs w:val="24"/>
        </w:rPr>
      </w:pPr>
    </w:p>
    <w:p w14:paraId="0D9CFBCC" w14:textId="774AEBFD" w:rsidR="00C41F1C" w:rsidRDefault="00F50DEA" w:rsidP="00B6569A">
      <w:pPr>
        <w:pStyle w:val="ListParagraph"/>
        <w:numPr>
          <w:ilvl w:val="1"/>
          <w:numId w:val="1"/>
        </w:numPr>
        <w:ind w:left="6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Teavitustasu </w:t>
      </w:r>
      <w:r w:rsidR="00CF3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suurus </w:t>
      </w:r>
      <w:r w:rsidR="00C41F1C" w:rsidRPr="00185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arvestatakse teavitusraportis esitatud </w:t>
      </w:r>
      <w:r w:rsidR="00AF1DA2" w:rsidRPr="00185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ettevõtte </w:t>
      </w:r>
      <w:r w:rsidR="007B5A14">
        <w:rPr>
          <w:rFonts w:ascii="Times New Roman" w:hAnsi="Times New Roman" w:cs="Times New Roman"/>
          <w:color w:val="000000" w:themeColor="text1"/>
          <w:sz w:val="24"/>
          <w:szCs w:val="24"/>
        </w:rPr>
        <w:t>kogu</w:t>
      </w:r>
      <w:r w:rsidR="00C41F1C" w:rsidRPr="001851D4">
        <w:rPr>
          <w:rFonts w:ascii="Times New Roman" w:hAnsi="Times New Roman" w:cs="Times New Roman"/>
          <w:color w:val="000000" w:themeColor="text1"/>
          <w:sz w:val="24"/>
          <w:szCs w:val="24"/>
        </w:rPr>
        <w:t>käibe</w:t>
      </w:r>
      <w:r w:rsidRPr="00185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D0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44D04"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total</w:t>
      </w:r>
      <w:proofErr w:type="spellEnd"/>
      <w:r w:rsidR="00D44D04"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44D04"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turnover</w:t>
      </w:r>
      <w:proofErr w:type="spellEnd"/>
      <w:r w:rsidR="00D44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185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või </w:t>
      </w:r>
      <w:r w:rsidR="00AF1DA2" w:rsidRPr="00185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mitme tegevuskohaga ettevõtete </w:t>
      </w:r>
      <w:r w:rsidR="007B5A14">
        <w:rPr>
          <w:rFonts w:ascii="Times New Roman" w:hAnsi="Times New Roman" w:cs="Times New Roman"/>
          <w:color w:val="000000" w:themeColor="text1"/>
          <w:sz w:val="24"/>
          <w:szCs w:val="24"/>
        </w:rPr>
        <w:t>kogu</w:t>
      </w:r>
      <w:r w:rsidR="00C41F1C" w:rsidRPr="001851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käivete koondsumma põhjal. </w:t>
      </w:r>
    </w:p>
    <w:p w14:paraId="1A46259A" w14:textId="77777777" w:rsidR="0084691A" w:rsidRPr="0084691A" w:rsidRDefault="00EF3264" w:rsidP="00137129">
      <w:pPr>
        <w:pStyle w:val="ListParagraph"/>
        <w:ind w:left="144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Märkus: </w:t>
      </w:r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Kogukäibe </w:t>
      </w:r>
      <w:r w:rsidR="004C1518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definitsioon</w:t>
      </w:r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tuleneb</w:t>
      </w:r>
      <w:r w:rsidR="004C1518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PEFC GD 1008:2019</w:t>
      </w:r>
      <w:r w:rsidR="004C1518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</w:p>
    <w:p w14:paraId="3C2A936C" w14:textId="01077C13" w:rsidR="0084691A" w:rsidRPr="0084691A" w:rsidRDefault="004C1518" w:rsidP="00137129">
      <w:pPr>
        <w:pStyle w:val="ListParagraph"/>
        <w:ind w:left="144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1) p </w:t>
      </w:r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3.6</w:t>
      </w:r>
      <w:r w:rsid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Total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turnover</w:t>
      </w:r>
      <w:proofErr w:type="spellEnd"/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The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sum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overall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turnover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as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defined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in a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company’s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total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revenues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would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include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gross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revenues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total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sales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The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total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turnover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value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determined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on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date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last 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certificate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proofErr w:type="spellStart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issuance</w:t>
      </w:r>
      <w:proofErr w:type="spellEnd"/>
      <w:r w:rsidR="00EF3264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; </w:t>
      </w:r>
    </w:p>
    <w:p w14:paraId="4B2A205A" w14:textId="7E292E2D" w:rsidR="0084691A" w:rsidRPr="0084691A" w:rsidRDefault="004C1518" w:rsidP="00137129">
      <w:pPr>
        <w:pStyle w:val="ListParagraph"/>
        <w:ind w:left="144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2) p 5.1. </w:t>
      </w:r>
      <w:proofErr w:type="spellStart"/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Table</w:t>
      </w:r>
      <w:proofErr w:type="spellEnd"/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1(b</w:t>
      </w:r>
      <w:r w:rsidR="0084691A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 </w:t>
      </w:r>
      <w:proofErr w:type="spellStart"/>
      <w:r w:rsidR="0084691A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Mandatory</w:t>
      </w:r>
      <w:proofErr w:type="spellEnd"/>
      <w:r w:rsidR="0084691A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84691A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features</w:t>
      </w:r>
      <w:proofErr w:type="spellEnd"/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Sum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total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turnover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 all of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participants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certificate</w:t>
      </w:r>
      <w:proofErr w:type="spellEnd"/>
      <w:r w:rsidR="0084691A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.;</w:t>
      </w:r>
    </w:p>
    <w:p w14:paraId="13C43991" w14:textId="6CCD66C8" w:rsidR="00EF3264" w:rsidRPr="00137129" w:rsidRDefault="0084691A" w:rsidP="00137129">
      <w:pPr>
        <w:pStyle w:val="ListParagraph"/>
        <w:ind w:left="144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3) p 5.3. </w:t>
      </w:r>
      <w:proofErr w:type="spellStart"/>
      <w:r w:rsidR="004C1518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Table</w:t>
      </w:r>
      <w:proofErr w:type="spellEnd"/>
      <w:r w:rsidR="004C1518"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5(c)</w:t>
      </w:r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Features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related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only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CoC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certificates</w:t>
      </w:r>
      <w:proofErr w:type="spellEnd"/>
      <w:r w:rsidRPr="008469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Sum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total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turnover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all of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participants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certificate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(in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participants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financial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reporting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currency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 at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date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last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certificate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issuance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Rounded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nearest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whole</w:t>
      </w:r>
      <w:proofErr w:type="spellEnd"/>
      <w:r w:rsidRPr="001371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number.</w:t>
      </w:r>
    </w:p>
    <w:p w14:paraId="11B07EF4" w14:textId="77777777" w:rsidR="002F6FAC" w:rsidRDefault="009A5417" w:rsidP="009A5417">
      <w:pPr>
        <w:pStyle w:val="ListParagraph"/>
        <w:numPr>
          <w:ilvl w:val="1"/>
          <w:numId w:val="1"/>
        </w:numPr>
        <w:ind w:left="6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Teavitustasu ei tagastata ega tasaarveldata sertifikaadi peatamise (</w:t>
      </w:r>
      <w:proofErr w:type="spellStart"/>
      <w:r w:rsidRPr="009A54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suspension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korral. </w:t>
      </w:r>
    </w:p>
    <w:p w14:paraId="46ACDE87" w14:textId="3F96A7CF" w:rsidR="009A5417" w:rsidRPr="002F6FAC" w:rsidRDefault="002F6FAC" w:rsidP="002F6FAC">
      <w:pPr>
        <w:pStyle w:val="ListParagraph"/>
        <w:ind w:left="1346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6F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Märkus: Peatamine on ajutine sertifikaadi olek. Peatamise ajal on sertifikaat ajutiselt kehtetu.</w:t>
      </w:r>
    </w:p>
    <w:p w14:paraId="27627961" w14:textId="1AB20839" w:rsidR="009A5417" w:rsidRPr="009A5417" w:rsidRDefault="000E57F1" w:rsidP="009A5417">
      <w:pPr>
        <w:pStyle w:val="ListParagraph"/>
        <w:numPr>
          <w:ilvl w:val="1"/>
          <w:numId w:val="1"/>
        </w:numPr>
        <w:ind w:left="6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A5417" w:rsidRPr="009A5417">
        <w:rPr>
          <w:rFonts w:ascii="Times New Roman" w:hAnsi="Times New Roman" w:cs="Times New Roman"/>
          <w:color w:val="000000" w:themeColor="text1"/>
          <w:sz w:val="24"/>
          <w:szCs w:val="24"/>
        </w:rPr>
        <w:t>eavitustasu ei tagastata</w:t>
      </w:r>
      <w:r w:rsidR="009A5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sertifikaadi tühistamise korral (</w:t>
      </w:r>
      <w:proofErr w:type="spellStart"/>
      <w:r w:rsidRPr="000E57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withdrawal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A5417" w:rsidRPr="009A5417">
        <w:rPr>
          <w:rFonts w:ascii="Times New Roman" w:hAnsi="Times New Roman" w:cs="Times New Roman"/>
          <w:color w:val="000000" w:themeColor="text1"/>
          <w:sz w:val="24"/>
          <w:szCs w:val="24"/>
        </w:rPr>
        <w:t>, kui sertifitseerimisasutus otsustab „vastavusavalduse kehtetuks tunnistamise või tühistamise“ (ISO/IEC 17000). See tähendab, et sertifikaadi omanik ei vasta enam sertifitseerimisnõuetele.</w:t>
      </w:r>
    </w:p>
    <w:p w14:paraId="4B23F749" w14:textId="5621C13D" w:rsidR="009A5417" w:rsidRPr="000E57F1" w:rsidRDefault="000E57F1" w:rsidP="000E57F1">
      <w:pPr>
        <w:pStyle w:val="ListParagraph"/>
        <w:ind w:left="122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Märkus: L</w:t>
      </w:r>
      <w:r w:rsidRPr="000E57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õpetamine on tingitud sertimise tingimuste rikkumisest, mittevastavuste kõrvaldamata jätmisest, arve tasumata jätmisest, </w:t>
      </w:r>
      <w:proofErr w:type="spellStart"/>
      <w:r w:rsidRPr="000E57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vm-st</w:t>
      </w:r>
      <w:proofErr w:type="spellEnd"/>
      <w:r w:rsidRPr="000E57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nõuete rikkumisest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1C54107" w14:textId="71CE4420" w:rsidR="001851D4" w:rsidRPr="000E57F1" w:rsidRDefault="000E57F1" w:rsidP="000E57F1">
      <w:pPr>
        <w:pStyle w:val="ListParagraph"/>
        <w:numPr>
          <w:ilvl w:val="1"/>
          <w:numId w:val="1"/>
        </w:numPr>
        <w:ind w:left="6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60CEA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>eavitust</w:t>
      </w:r>
      <w:r w:rsidR="00C41F1C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asu </w:t>
      </w:r>
      <w:r w:rsidR="00CF3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tagastata ega </w:t>
      </w:r>
      <w:r w:rsidR="00C41F1C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>tasaarveldata</w:t>
      </w:r>
      <w:r w:rsidR="00496361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kui ettevõte on täitnud </w:t>
      </w:r>
      <w:r w:rsidR="00CF3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küll </w:t>
      </w:r>
      <w:r w:rsidR="00496361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>kõik serdi nõuded</w:t>
      </w:r>
      <w:r w:rsidR="00CF3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kuid </w:t>
      </w:r>
      <w:r w:rsidR="00496361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lõpetamine on toimunud </w:t>
      </w:r>
      <w:r w:rsidR="009A5417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vabatahtlikult </w:t>
      </w:r>
      <w:r w:rsidR="00496361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>ettevõtte soovil või kui tegu on ettevõte pankrotiga</w:t>
      </w:r>
      <w:r w:rsidR="009A5417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9A5417" w:rsidRPr="000E57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termination</w:t>
      </w:r>
      <w:proofErr w:type="spellEnd"/>
      <w:r w:rsidR="009A5417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96361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60CEA" w:rsidRPr="000E5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B817D6" w14:textId="77777777" w:rsidR="00770A41" w:rsidRDefault="00770A41" w:rsidP="00B6569A">
      <w:pPr>
        <w:pStyle w:val="ListParagraph"/>
        <w:ind w:left="914"/>
        <w:jc w:val="both"/>
        <w:rPr>
          <w:rFonts w:ascii="Times New Roman" w:hAnsi="Times New Roman" w:cs="Times New Roman"/>
          <w:sz w:val="24"/>
          <w:szCs w:val="24"/>
        </w:rPr>
      </w:pPr>
    </w:p>
    <w:p w14:paraId="4117BDE0" w14:textId="77777777" w:rsidR="00770A41" w:rsidRPr="00273A93" w:rsidRDefault="00770A41" w:rsidP="00273A9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202EBD" w14:textId="21D5473F" w:rsidR="00050845" w:rsidRPr="007F2EC9" w:rsidRDefault="00050845" w:rsidP="00B6569A">
      <w:pPr>
        <w:pStyle w:val="ListParagraph"/>
        <w:widowControl/>
        <w:numPr>
          <w:ilvl w:val="0"/>
          <w:numId w:val="1"/>
        </w:numPr>
        <w:autoSpaceDE/>
        <w:autoSpaceDN/>
        <w:ind w:left="19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EC9">
        <w:rPr>
          <w:rFonts w:ascii="Times New Roman" w:eastAsia="Times New Roman" w:hAnsi="Times New Roman" w:cs="Times New Roman"/>
          <w:sz w:val="24"/>
          <w:szCs w:val="24"/>
        </w:rPr>
        <w:lastRenderedPageBreak/>
        <w:t>PEFC kaubamär</w:t>
      </w:r>
      <w:r w:rsidR="00882B6F">
        <w:rPr>
          <w:rFonts w:ascii="Times New Roman" w:eastAsia="Times New Roman" w:hAnsi="Times New Roman" w:cs="Times New Roman"/>
          <w:sz w:val="24"/>
          <w:szCs w:val="24"/>
        </w:rPr>
        <w:t xml:space="preserve">kide </w:t>
      </w:r>
      <w:r w:rsidRPr="007F2EC9">
        <w:rPr>
          <w:rFonts w:ascii="Times New Roman" w:eastAsia="Times New Roman" w:hAnsi="Times New Roman" w:cs="Times New Roman"/>
          <w:sz w:val="24"/>
          <w:szCs w:val="24"/>
        </w:rPr>
        <w:t xml:space="preserve">kasutamise </w:t>
      </w:r>
      <w:r w:rsidR="00861FC7" w:rsidRPr="00882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iga-aastased </w:t>
      </w:r>
      <w:r w:rsidRPr="00882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tasud </w:t>
      </w:r>
      <w:r w:rsidRPr="00882B6F">
        <w:rPr>
          <w:rFonts w:ascii="Times New Roman" w:hAnsi="Times New Roman" w:cs="Times New Roman"/>
          <w:color w:val="000000" w:themeColor="text1"/>
          <w:sz w:val="24"/>
          <w:szCs w:val="24"/>
        </w:rPr>
        <w:t>alates 01.01.202</w:t>
      </w:r>
      <w:r w:rsidR="00882B6F" w:rsidRPr="00882B6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82B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F2EC9">
        <w:rPr>
          <w:rFonts w:ascii="Times New Roman" w:hAnsi="Times New Roman" w:cs="Times New Roman"/>
          <w:sz w:val="24"/>
          <w:szCs w:val="24"/>
        </w:rPr>
        <w:t>a.:</w:t>
      </w:r>
    </w:p>
    <w:tbl>
      <w:tblPr>
        <w:tblStyle w:val="TableGrid"/>
        <w:tblpPr w:leftFromText="180" w:rightFromText="180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4786"/>
        <w:gridCol w:w="3544"/>
      </w:tblGrid>
      <w:tr w:rsidR="00050845" w:rsidRPr="007F2EC9" w14:paraId="0D257D50" w14:textId="77777777" w:rsidTr="00C7790E">
        <w:tc>
          <w:tcPr>
            <w:tcW w:w="4786" w:type="dxa"/>
          </w:tcPr>
          <w:p w14:paraId="30ACFB44" w14:textId="09DCE7AE" w:rsidR="00050845" w:rsidRPr="007F2EC9" w:rsidRDefault="00050845" w:rsidP="00B656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Kaubamär</w:t>
            </w:r>
            <w:r w:rsidR="007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kide</w:t>
            </w:r>
            <w:r w:rsidRPr="007F2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kasutaja</w:t>
            </w:r>
          </w:p>
        </w:tc>
        <w:tc>
          <w:tcPr>
            <w:tcW w:w="3544" w:type="dxa"/>
          </w:tcPr>
          <w:p w14:paraId="773025C2" w14:textId="4FEF06CA" w:rsidR="00050845" w:rsidRPr="007F2EC9" w:rsidRDefault="00050845" w:rsidP="00C7790E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2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Kaubamär</w:t>
            </w:r>
            <w:r w:rsidR="00770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kide</w:t>
            </w:r>
            <w:r w:rsidRPr="007F2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kasutamise maksumus (EUR)</w:t>
            </w:r>
          </w:p>
        </w:tc>
      </w:tr>
      <w:tr w:rsidR="00050845" w:rsidRPr="007F2EC9" w14:paraId="5B68F0B1" w14:textId="77777777" w:rsidTr="00C7790E">
        <w:tc>
          <w:tcPr>
            <w:tcW w:w="4786" w:type="dxa"/>
          </w:tcPr>
          <w:p w14:paraId="6FEE543E" w14:textId="77777777" w:rsidR="00050845" w:rsidRPr="00882B6F" w:rsidRDefault="00050845" w:rsidP="00B6569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PEFC</w:t>
            </w:r>
            <w:r w:rsidR="00F50DEA"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sertifi</w:t>
            </w:r>
            <w:r w:rsidR="00F50DEA"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kaati omavad</w:t>
            </w:r>
            <w:r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metsaomanikud, ettevõtted ja organisatsioonid</w:t>
            </w:r>
          </w:p>
          <w:p w14:paraId="72452706" w14:textId="2783F6B7" w:rsidR="00F50DEA" w:rsidRPr="00882B6F" w:rsidRDefault="00F50DEA" w:rsidP="00B6569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F6FD86" w14:textId="77777777" w:rsidR="00050845" w:rsidRPr="00882B6F" w:rsidRDefault="00050845" w:rsidP="00B6569A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Tasuta</w:t>
            </w:r>
          </w:p>
        </w:tc>
      </w:tr>
      <w:tr w:rsidR="00050845" w:rsidRPr="007F2EC9" w14:paraId="3A619D54" w14:textId="77777777" w:rsidTr="00C7790E">
        <w:tc>
          <w:tcPr>
            <w:tcW w:w="4786" w:type="dxa"/>
          </w:tcPr>
          <w:p w14:paraId="432AE9B3" w14:textId="77777777" w:rsidR="00050845" w:rsidRPr="00882B6F" w:rsidRDefault="00050845" w:rsidP="00B6569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Mittetulunduslikel eesmärkidel tegutsevad organisatsioonid, sh riigiasutused</w:t>
            </w:r>
          </w:p>
          <w:p w14:paraId="63E6AF88" w14:textId="77777777" w:rsidR="00F50DEA" w:rsidRPr="00882B6F" w:rsidRDefault="00F50DEA" w:rsidP="00B6569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E8F091" w14:textId="77777777" w:rsidR="00050845" w:rsidRPr="00882B6F" w:rsidRDefault="00050845" w:rsidP="00B6569A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Tasuta</w:t>
            </w:r>
          </w:p>
        </w:tc>
      </w:tr>
      <w:tr w:rsidR="00050845" w:rsidRPr="007F2EC9" w14:paraId="47815822" w14:textId="77777777" w:rsidTr="00C7790E">
        <w:trPr>
          <w:trHeight w:val="871"/>
        </w:trPr>
        <w:tc>
          <w:tcPr>
            <w:tcW w:w="4786" w:type="dxa"/>
          </w:tcPr>
          <w:p w14:paraId="1E00A162" w14:textId="1F18E8C4" w:rsidR="00050845" w:rsidRPr="00882B6F" w:rsidRDefault="00050845" w:rsidP="00B6569A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Ärilistel eesmärkidel tegutsevad ettevõtted ja</w:t>
            </w:r>
            <w:r w:rsidR="00770A41"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organisatsioonid, ke</w:t>
            </w:r>
            <w:r w:rsidR="00F50DEA"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llel ei ole </w:t>
            </w:r>
            <w:r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PEFC</w:t>
            </w:r>
            <w:r w:rsidR="00F50DEA"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sertifi</w:t>
            </w:r>
            <w:r w:rsidR="00F50DEA" w:rsidRPr="00882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kaati</w:t>
            </w:r>
          </w:p>
          <w:p w14:paraId="4DDD7143" w14:textId="7F3C54E8" w:rsidR="00F50DEA" w:rsidRPr="00882B6F" w:rsidRDefault="00F50DEA" w:rsidP="00B6569A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4EF7B3" w14:textId="14E2E2D9" w:rsidR="00050845" w:rsidRPr="00273A93" w:rsidRDefault="00882B6F" w:rsidP="00B6569A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93">
              <w:rPr>
                <w:rFonts w:ascii="Times New Roman" w:eastAsia="Times New Roman" w:hAnsi="Times New Roman" w:cs="Times New Roman"/>
                <w:sz w:val="24"/>
                <w:szCs w:val="24"/>
              </w:rPr>
              <w:t>Tasuta</w:t>
            </w:r>
          </w:p>
        </w:tc>
      </w:tr>
    </w:tbl>
    <w:p w14:paraId="3EC953F7" w14:textId="77777777" w:rsidR="00050845" w:rsidRDefault="00050845" w:rsidP="00B65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A1377" w14:textId="77777777" w:rsidR="00DA70CD" w:rsidRDefault="00DA70CD" w:rsidP="00B65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0E954" w14:textId="77777777" w:rsidR="00DA70CD" w:rsidRDefault="00DA70CD" w:rsidP="00B65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BFECC" w14:textId="77777777" w:rsidR="00DA70CD" w:rsidRDefault="00DA70CD" w:rsidP="00B656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18ED5" w14:textId="77777777" w:rsidR="00770A41" w:rsidRPr="00273A93" w:rsidRDefault="00770A41" w:rsidP="00273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58773" w14:textId="77777777" w:rsidR="00311F2C" w:rsidRDefault="00311F2C" w:rsidP="00B6569A">
      <w:pPr>
        <w:pStyle w:val="ListParagraph"/>
        <w:ind w:left="554"/>
        <w:jc w:val="both"/>
        <w:rPr>
          <w:rFonts w:ascii="Times New Roman" w:hAnsi="Times New Roman" w:cs="Times New Roman"/>
          <w:sz w:val="24"/>
          <w:szCs w:val="24"/>
        </w:rPr>
      </w:pPr>
    </w:p>
    <w:sectPr w:rsidR="00311F2C" w:rsidSect="008224AA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AF2B" w14:textId="77777777" w:rsidR="00717E2D" w:rsidRDefault="00717E2D" w:rsidP="004D299C">
      <w:r>
        <w:separator/>
      </w:r>
    </w:p>
  </w:endnote>
  <w:endnote w:type="continuationSeparator" w:id="0">
    <w:p w14:paraId="65839875" w14:textId="77777777" w:rsidR="00717E2D" w:rsidRDefault="00717E2D" w:rsidP="004D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A198" w14:textId="77777777" w:rsidR="00717E2D" w:rsidRDefault="00717E2D" w:rsidP="004D299C">
      <w:r>
        <w:separator/>
      </w:r>
    </w:p>
  </w:footnote>
  <w:footnote w:type="continuationSeparator" w:id="0">
    <w:p w14:paraId="10FCB3C3" w14:textId="77777777" w:rsidR="00717E2D" w:rsidRDefault="00717E2D" w:rsidP="004D2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D11"/>
    <w:multiLevelType w:val="hybridMultilevel"/>
    <w:tmpl w:val="9A6A4EE8"/>
    <w:lvl w:ilvl="0" w:tplc="2AE4D2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BF3D17"/>
    <w:multiLevelType w:val="hybridMultilevel"/>
    <w:tmpl w:val="A1F49B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773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0E2604"/>
    <w:multiLevelType w:val="hybridMultilevel"/>
    <w:tmpl w:val="58401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0391D"/>
    <w:multiLevelType w:val="hybridMultilevel"/>
    <w:tmpl w:val="41B2D356"/>
    <w:lvl w:ilvl="0" w:tplc="326A784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2815BE"/>
    <w:multiLevelType w:val="hybridMultilevel"/>
    <w:tmpl w:val="695099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B5EE0"/>
    <w:multiLevelType w:val="hybridMultilevel"/>
    <w:tmpl w:val="2A2AE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966AF"/>
    <w:multiLevelType w:val="hybridMultilevel"/>
    <w:tmpl w:val="05888FEA"/>
    <w:lvl w:ilvl="0" w:tplc="72A45D8C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 w:tplc="30569E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34A0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AA5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ED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AA1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184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42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01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4862202">
    <w:abstractNumId w:val="2"/>
  </w:num>
  <w:num w:numId="2" w16cid:durableId="1550337454">
    <w:abstractNumId w:val="0"/>
  </w:num>
  <w:num w:numId="3" w16cid:durableId="16473233">
    <w:abstractNumId w:val="6"/>
  </w:num>
  <w:num w:numId="4" w16cid:durableId="2121794862">
    <w:abstractNumId w:val="7"/>
  </w:num>
  <w:num w:numId="5" w16cid:durableId="187722080">
    <w:abstractNumId w:val="4"/>
  </w:num>
  <w:num w:numId="6" w16cid:durableId="1194270899">
    <w:abstractNumId w:val="5"/>
  </w:num>
  <w:num w:numId="7" w16cid:durableId="667367477">
    <w:abstractNumId w:val="1"/>
  </w:num>
  <w:num w:numId="8" w16cid:durableId="577443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sjAyMTCyNDAxMDRW0lEKTi0uzszPAymwqAUA7OjgvywAAAA="/>
  </w:docVars>
  <w:rsids>
    <w:rsidRoot w:val="00ED3EBA"/>
    <w:rsid w:val="000324CD"/>
    <w:rsid w:val="00050845"/>
    <w:rsid w:val="00074342"/>
    <w:rsid w:val="000B1DF8"/>
    <w:rsid w:val="000D7FD4"/>
    <w:rsid w:val="000E3447"/>
    <w:rsid w:val="000E57F1"/>
    <w:rsid w:val="001212D6"/>
    <w:rsid w:val="00137129"/>
    <w:rsid w:val="001851D4"/>
    <w:rsid w:val="001E0D1E"/>
    <w:rsid w:val="001E1BBD"/>
    <w:rsid w:val="00205CAC"/>
    <w:rsid w:val="002524C5"/>
    <w:rsid w:val="00273A93"/>
    <w:rsid w:val="00292FF9"/>
    <w:rsid w:val="002A019A"/>
    <w:rsid w:val="002A7433"/>
    <w:rsid w:val="002F6FAC"/>
    <w:rsid w:val="00311F2C"/>
    <w:rsid w:val="00395C93"/>
    <w:rsid w:val="003B7DCC"/>
    <w:rsid w:val="003D73A0"/>
    <w:rsid w:val="003E122B"/>
    <w:rsid w:val="003F4EE4"/>
    <w:rsid w:val="004037E4"/>
    <w:rsid w:val="00452AC4"/>
    <w:rsid w:val="00456FE4"/>
    <w:rsid w:val="004714AB"/>
    <w:rsid w:val="00496361"/>
    <w:rsid w:val="004C1518"/>
    <w:rsid w:val="004D299C"/>
    <w:rsid w:val="005A50F8"/>
    <w:rsid w:val="005C2DCD"/>
    <w:rsid w:val="005D4CC7"/>
    <w:rsid w:val="00645E35"/>
    <w:rsid w:val="00652A3F"/>
    <w:rsid w:val="006C72C5"/>
    <w:rsid w:val="006F097D"/>
    <w:rsid w:val="007129FA"/>
    <w:rsid w:val="00715607"/>
    <w:rsid w:val="00717E2D"/>
    <w:rsid w:val="00721C3D"/>
    <w:rsid w:val="007430F5"/>
    <w:rsid w:val="00770A41"/>
    <w:rsid w:val="00781976"/>
    <w:rsid w:val="007B1F7E"/>
    <w:rsid w:val="007B5A14"/>
    <w:rsid w:val="007E4E62"/>
    <w:rsid w:val="007F2EC9"/>
    <w:rsid w:val="0081218C"/>
    <w:rsid w:val="008224AA"/>
    <w:rsid w:val="0084691A"/>
    <w:rsid w:val="008534E8"/>
    <w:rsid w:val="00861FC7"/>
    <w:rsid w:val="00871F6C"/>
    <w:rsid w:val="00882B6F"/>
    <w:rsid w:val="008D4BA1"/>
    <w:rsid w:val="0092577B"/>
    <w:rsid w:val="009A259B"/>
    <w:rsid w:val="009A5417"/>
    <w:rsid w:val="009C6F46"/>
    <w:rsid w:val="009F5781"/>
    <w:rsid w:val="00A13189"/>
    <w:rsid w:val="00A4402A"/>
    <w:rsid w:val="00A60CEA"/>
    <w:rsid w:val="00A6327F"/>
    <w:rsid w:val="00A63313"/>
    <w:rsid w:val="00AC6E07"/>
    <w:rsid w:val="00AF1DA2"/>
    <w:rsid w:val="00B6569A"/>
    <w:rsid w:val="00B71383"/>
    <w:rsid w:val="00B93C0E"/>
    <w:rsid w:val="00BB4283"/>
    <w:rsid w:val="00BD2B3F"/>
    <w:rsid w:val="00BE4717"/>
    <w:rsid w:val="00C24308"/>
    <w:rsid w:val="00C417C5"/>
    <w:rsid w:val="00C41F1C"/>
    <w:rsid w:val="00C7790E"/>
    <w:rsid w:val="00C90DB3"/>
    <w:rsid w:val="00C90F33"/>
    <w:rsid w:val="00CA06CA"/>
    <w:rsid w:val="00CB1F0A"/>
    <w:rsid w:val="00CC4B73"/>
    <w:rsid w:val="00CE387F"/>
    <w:rsid w:val="00CF330E"/>
    <w:rsid w:val="00D10C95"/>
    <w:rsid w:val="00D1135F"/>
    <w:rsid w:val="00D44D04"/>
    <w:rsid w:val="00D67AC6"/>
    <w:rsid w:val="00DA70CD"/>
    <w:rsid w:val="00DC4E71"/>
    <w:rsid w:val="00DE40FB"/>
    <w:rsid w:val="00E01A53"/>
    <w:rsid w:val="00E121C1"/>
    <w:rsid w:val="00E151B5"/>
    <w:rsid w:val="00E83C42"/>
    <w:rsid w:val="00EC283B"/>
    <w:rsid w:val="00EC3547"/>
    <w:rsid w:val="00EC5218"/>
    <w:rsid w:val="00ED1DE1"/>
    <w:rsid w:val="00ED3EBA"/>
    <w:rsid w:val="00EF3264"/>
    <w:rsid w:val="00EF64BF"/>
    <w:rsid w:val="00F13BC3"/>
    <w:rsid w:val="00F1671B"/>
    <w:rsid w:val="00F23505"/>
    <w:rsid w:val="00F26975"/>
    <w:rsid w:val="00F31DE1"/>
    <w:rsid w:val="00F50DEA"/>
    <w:rsid w:val="00F879F3"/>
    <w:rsid w:val="00F90D48"/>
    <w:rsid w:val="00F971BC"/>
    <w:rsid w:val="00FD1A3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30BB23"/>
  <w15:docId w15:val="{615B69CA-6BED-40DF-919F-940F9C5C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t-EE" w:eastAsia="et-EE" w:bidi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5" w:line="249" w:lineRule="exact"/>
    </w:pPr>
  </w:style>
  <w:style w:type="table" w:styleId="TableGrid">
    <w:name w:val="Table Grid"/>
    <w:basedOn w:val="TableNormal"/>
    <w:uiPriority w:val="39"/>
    <w:rsid w:val="00AC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A70CD"/>
    <w:pPr>
      <w:widowControl/>
      <w:autoSpaceDE/>
      <w:autoSpaceDN/>
    </w:pPr>
    <w:rPr>
      <w:rFonts w:ascii="Calibri" w:eastAsia="Calibri" w:hAnsi="Calibri" w:cs="Calibri"/>
      <w:lang w:val="et-EE" w:eastAsia="et-EE" w:bidi="et-EE"/>
    </w:rPr>
  </w:style>
  <w:style w:type="character" w:styleId="Hyperlink">
    <w:name w:val="Hyperlink"/>
    <w:basedOn w:val="DefaultParagraphFont"/>
    <w:uiPriority w:val="99"/>
    <w:unhideWhenUsed/>
    <w:rsid w:val="00A440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A3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99C"/>
    <w:rPr>
      <w:rFonts w:ascii="Calibri" w:eastAsia="Calibri" w:hAnsi="Calibri" w:cs="Calibri"/>
      <w:lang w:val="et-EE" w:eastAsia="et-EE" w:bidi="et-EE"/>
    </w:rPr>
  </w:style>
  <w:style w:type="paragraph" w:styleId="Footer">
    <w:name w:val="footer"/>
    <w:basedOn w:val="Normal"/>
    <w:link w:val="FooterChar"/>
    <w:uiPriority w:val="99"/>
    <w:unhideWhenUsed/>
    <w:rsid w:val="004D2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99C"/>
    <w:rPr>
      <w:rFonts w:ascii="Calibri" w:eastAsia="Calibri" w:hAnsi="Calibri" w:cs="Calibri"/>
      <w:lang w:val="et-EE" w:eastAsia="et-EE" w:bidi="et-EE"/>
    </w:rPr>
  </w:style>
  <w:style w:type="character" w:customStyle="1" w:styleId="BodyTextChar">
    <w:name w:val="Body Text Char"/>
    <w:basedOn w:val="DefaultParagraphFont"/>
    <w:link w:val="BodyText"/>
    <w:uiPriority w:val="1"/>
    <w:rsid w:val="004037E4"/>
    <w:rPr>
      <w:rFonts w:ascii="Times New Roman" w:eastAsia="Times New Roman" w:hAnsi="Times New Roman" w:cs="Times New Roman"/>
      <w:sz w:val="40"/>
      <w:szCs w:val="40"/>
      <w:lang w:val="et-EE" w:eastAsia="et-EE"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 Saamel</dc:creator>
  <cp:lastModifiedBy>Eve Rebane</cp:lastModifiedBy>
  <cp:revision>69</cp:revision>
  <dcterms:created xsi:type="dcterms:W3CDTF">2020-09-30T11:38:00Z</dcterms:created>
  <dcterms:modified xsi:type="dcterms:W3CDTF">2025-06-03T12:19:00Z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2020-02-16T00:00:00Z</vt:filetime>
  </property>
</Properties>
</file>